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54" w:rsidRDefault="00B40254" w:rsidP="00B40254">
      <w:pPr>
        <w:spacing w:after="150" w:line="240" w:lineRule="auto"/>
        <w:outlineLvl w:val="0"/>
        <w:rPr>
          <w:rFonts w:eastAsia="Times New Roman" w:cs="Arial"/>
          <w:color w:val="000000" w:themeColor="text1"/>
          <w:kern w:val="36"/>
          <w:sz w:val="35"/>
          <w:szCs w:val="35"/>
          <w:lang w:val="en-US"/>
        </w:rPr>
      </w:pPr>
      <w:r w:rsidRPr="00B40254">
        <w:rPr>
          <w:rFonts w:eastAsia="Times New Roman" w:cs="Arial"/>
          <w:color w:val="000000" w:themeColor="text1"/>
          <w:kern w:val="36"/>
          <w:sz w:val="35"/>
          <w:szCs w:val="35"/>
          <w:lang w:val="en-US"/>
        </w:rPr>
        <w:t>Carbohydrate Antigen 19-9 (CA 19-9), Serum</w:t>
      </w:r>
    </w:p>
    <w:p w:rsidR="00B40254" w:rsidRPr="002C6026" w:rsidRDefault="002C6026" w:rsidP="00425958">
      <w:pPr>
        <w:spacing w:after="0" w:line="240" w:lineRule="auto"/>
        <w:rPr>
          <w:rFonts w:eastAsia="Times New Roman" w:cs="Arial"/>
          <w:color w:val="000000" w:themeColor="text1"/>
          <w:lang w:val="en-US"/>
        </w:rPr>
      </w:pPr>
      <w:r w:rsidRPr="002C6026">
        <w:rPr>
          <w:rFonts w:eastAsia="Times New Roman" w:cs="Arial"/>
          <w:color w:val="000000" w:themeColor="text1"/>
          <w:lang w:val="en-US"/>
        </w:rPr>
        <w:t xml:space="preserve">Carbohydrate antigen 19-9 (CA 19-9) is a modified </w:t>
      </w:r>
      <w:proofErr w:type="gramStart"/>
      <w:r w:rsidRPr="002C6026">
        <w:rPr>
          <w:rFonts w:eastAsia="Times New Roman" w:cs="Arial"/>
          <w:color w:val="000000" w:themeColor="text1"/>
          <w:lang w:val="en-US"/>
        </w:rPr>
        <w:t>Lewis(</w:t>
      </w:r>
      <w:proofErr w:type="gramEnd"/>
      <w:r w:rsidRPr="002C6026">
        <w:rPr>
          <w:rFonts w:eastAsia="Times New Roman" w:cs="Arial"/>
          <w:color w:val="000000" w:themeColor="text1"/>
          <w:lang w:val="en-US"/>
        </w:rPr>
        <w:t xml:space="preserve">a) blood group antigen. CA 19-9 may be elevated in patients with gastrointestinal malignancies such as </w:t>
      </w:r>
      <w:proofErr w:type="spellStart"/>
      <w:r w:rsidRPr="002C6026">
        <w:rPr>
          <w:rFonts w:eastAsia="Times New Roman" w:cs="Arial"/>
          <w:color w:val="000000" w:themeColor="text1"/>
          <w:lang w:val="en-US"/>
        </w:rPr>
        <w:t>cholangiocarcinoma</w:t>
      </w:r>
      <w:proofErr w:type="spellEnd"/>
      <w:r w:rsidRPr="002C6026">
        <w:rPr>
          <w:rFonts w:eastAsia="Times New Roman" w:cs="Arial"/>
          <w:color w:val="000000" w:themeColor="text1"/>
          <w:lang w:val="en-US"/>
        </w:rPr>
        <w:t>, pancreatic cancer, or colon cancer</w:t>
      </w:r>
      <w:r w:rsidR="00425958">
        <w:rPr>
          <w:rFonts w:eastAsia="Times New Roman" w:cs="Arial"/>
          <w:color w:val="000000" w:themeColor="text1"/>
          <w:lang w:val="en-US"/>
        </w:rPr>
        <w:t xml:space="preserve">.  </w:t>
      </w:r>
      <w:r w:rsidR="00B40254" w:rsidRPr="002C6026">
        <w:rPr>
          <w:rFonts w:eastAsia="Times New Roman" w:cs="Times New Roman"/>
          <w:color w:val="000000" w:themeColor="text1"/>
          <w:lang w:val="en-US"/>
        </w:rPr>
        <w:t>The test is useful For </w:t>
      </w:r>
      <w:r w:rsidR="00B40254" w:rsidRPr="002C6026">
        <w:rPr>
          <w:rFonts w:eastAsia="Times New Roman" w:cs="Arial"/>
          <w:color w:val="000000" w:themeColor="text1"/>
          <w:lang w:val="en-US"/>
        </w:rPr>
        <w:t>Potentially useful adjunct for diagnosis and monitoring of pancreatic cancer</w:t>
      </w:r>
      <w:r w:rsidR="00425958">
        <w:rPr>
          <w:rFonts w:eastAsia="Times New Roman" w:cs="Arial"/>
          <w:color w:val="000000" w:themeColor="text1"/>
          <w:lang w:val="en-US"/>
        </w:rPr>
        <w:t xml:space="preserve">. </w:t>
      </w:r>
    </w:p>
    <w:p w:rsidR="00B40254" w:rsidRPr="002C6026" w:rsidRDefault="00B40254" w:rsidP="00B40254">
      <w:pPr>
        <w:spacing w:after="0" w:line="240" w:lineRule="auto"/>
        <w:rPr>
          <w:rFonts w:eastAsia="Times New Roman" w:cs="Arial"/>
          <w:color w:val="000000" w:themeColor="text1"/>
          <w:lang w:val="en-US"/>
        </w:rPr>
      </w:pPr>
      <w:r w:rsidRPr="002C6026">
        <w:rPr>
          <w:rFonts w:eastAsia="Times New Roman" w:cs="Arial"/>
          <w:color w:val="000000" w:themeColor="text1"/>
          <w:lang w:val="en-US"/>
        </w:rPr>
        <w:t xml:space="preserve">May be used for differentiating patients with </w:t>
      </w:r>
      <w:proofErr w:type="spellStart"/>
      <w:r w:rsidRPr="002C6026">
        <w:rPr>
          <w:rFonts w:eastAsia="Times New Roman" w:cs="Arial"/>
          <w:color w:val="000000" w:themeColor="text1"/>
          <w:lang w:val="en-US"/>
        </w:rPr>
        <w:t>cholangiocarcinoma</w:t>
      </w:r>
      <w:proofErr w:type="spellEnd"/>
      <w:r w:rsidRPr="002C6026">
        <w:rPr>
          <w:rFonts w:eastAsia="Times New Roman" w:cs="Arial"/>
          <w:color w:val="000000" w:themeColor="text1"/>
          <w:lang w:val="en-US"/>
        </w:rPr>
        <w:t xml:space="preserve"> and primary </w:t>
      </w:r>
      <w:proofErr w:type="spellStart"/>
      <w:r w:rsidRPr="002C6026">
        <w:rPr>
          <w:rFonts w:eastAsia="Times New Roman" w:cs="Arial"/>
          <w:color w:val="000000" w:themeColor="text1"/>
          <w:lang w:val="en-US"/>
        </w:rPr>
        <w:t>sclerosing</w:t>
      </w:r>
      <w:proofErr w:type="spellEnd"/>
      <w:r w:rsidRPr="002C6026">
        <w:rPr>
          <w:rFonts w:eastAsia="Times New Roman" w:cs="Arial"/>
          <w:color w:val="000000" w:themeColor="text1"/>
          <w:lang w:val="en-US"/>
        </w:rPr>
        <w:t xml:space="preserve"> </w:t>
      </w:r>
      <w:proofErr w:type="spellStart"/>
      <w:r w:rsidRPr="002C6026">
        <w:rPr>
          <w:rFonts w:eastAsia="Times New Roman" w:cs="Arial"/>
          <w:color w:val="000000" w:themeColor="text1"/>
          <w:lang w:val="en-US"/>
        </w:rPr>
        <w:t>cholangitis</w:t>
      </w:r>
      <w:proofErr w:type="spellEnd"/>
      <w:r w:rsidRPr="002C6026">
        <w:rPr>
          <w:rFonts w:eastAsia="Times New Roman" w:cs="Arial"/>
          <w:color w:val="000000" w:themeColor="text1"/>
          <w:lang w:val="en-US"/>
        </w:rPr>
        <w:t xml:space="preserve"> (PSC) from those with PSC alone</w:t>
      </w:r>
    </w:p>
    <w:p w:rsidR="00B40254" w:rsidRPr="002C6026" w:rsidRDefault="00B40254" w:rsidP="00B40254">
      <w:pPr>
        <w:spacing w:after="0" w:line="240" w:lineRule="auto"/>
        <w:outlineLvl w:val="1"/>
        <w:rPr>
          <w:rFonts w:eastAsia="Times New Roman" w:cs="Times New Roman"/>
          <w:b/>
          <w:bCs/>
          <w:color w:val="000000" w:themeColor="text1"/>
          <w:lang w:val="en-US"/>
        </w:rPr>
      </w:pPr>
      <w:r w:rsidRPr="002C6026">
        <w:rPr>
          <w:rFonts w:eastAsia="Times New Roman" w:cs="Times New Roman"/>
          <w:b/>
          <w:bCs/>
          <w:color w:val="000000" w:themeColor="text1"/>
          <w:lang w:val="en-US"/>
        </w:rPr>
        <w:t>Reference Values </w:t>
      </w:r>
    </w:p>
    <w:p w:rsidR="00B40254" w:rsidRPr="002C6026" w:rsidRDefault="00B40254" w:rsidP="00B40254">
      <w:pPr>
        <w:spacing w:after="0" w:line="240" w:lineRule="auto"/>
        <w:rPr>
          <w:rFonts w:eastAsia="Times New Roman" w:cs="Arial"/>
          <w:color w:val="000000" w:themeColor="text1"/>
          <w:lang w:val="en-US"/>
        </w:rPr>
      </w:pPr>
      <w:r w:rsidRPr="002C6026">
        <w:rPr>
          <w:rFonts w:eastAsia="Times New Roman" w:cs="Arial"/>
          <w:color w:val="000000" w:themeColor="text1"/>
          <w:lang w:val="en-US"/>
        </w:rPr>
        <w:t>&lt;55 U/mL</w:t>
      </w:r>
    </w:p>
    <w:p w:rsidR="00B40254" w:rsidRPr="002C6026" w:rsidRDefault="00B40254" w:rsidP="00B40254">
      <w:pPr>
        <w:spacing w:after="0" w:line="240" w:lineRule="auto"/>
        <w:rPr>
          <w:rFonts w:eastAsia="Times New Roman" w:cs="Arial"/>
          <w:color w:val="000000" w:themeColor="text1"/>
          <w:lang w:val="en-US"/>
        </w:rPr>
      </w:pPr>
      <w:r w:rsidRPr="002C6026">
        <w:rPr>
          <w:rFonts w:eastAsia="Times New Roman" w:cs="Arial"/>
          <w:color w:val="000000" w:themeColor="text1"/>
          <w:lang w:val="en-US"/>
        </w:rPr>
        <w:t xml:space="preserve"> Serum markers are not specific for malignancy, </w:t>
      </w:r>
      <w:r w:rsidR="002C6026" w:rsidRPr="002C6026">
        <w:rPr>
          <w:rFonts w:eastAsia="Times New Roman" w:cs="Arial"/>
          <w:color w:val="000000" w:themeColor="text1"/>
          <w:lang w:val="en-US"/>
        </w:rPr>
        <w:t>and values</w:t>
      </w:r>
      <w:r w:rsidRPr="002C6026">
        <w:rPr>
          <w:rFonts w:eastAsia="Times New Roman" w:cs="Arial"/>
          <w:color w:val="000000" w:themeColor="text1"/>
          <w:lang w:val="en-US"/>
        </w:rPr>
        <w:t xml:space="preserve"> may vary by method.</w:t>
      </w:r>
    </w:p>
    <w:p w:rsidR="00B40254" w:rsidRPr="002C6026" w:rsidRDefault="00B40254" w:rsidP="00B40254">
      <w:pPr>
        <w:spacing w:after="0" w:line="240" w:lineRule="auto"/>
        <w:outlineLvl w:val="1"/>
        <w:rPr>
          <w:rFonts w:eastAsia="Times New Roman" w:cs="Times New Roman"/>
          <w:b/>
          <w:bCs/>
          <w:color w:val="000000" w:themeColor="text1"/>
          <w:lang w:val="en-US"/>
        </w:rPr>
      </w:pPr>
      <w:r w:rsidRPr="002C6026">
        <w:rPr>
          <w:rFonts w:eastAsia="Times New Roman" w:cs="Times New Roman"/>
          <w:b/>
          <w:bCs/>
          <w:color w:val="000000" w:themeColor="text1"/>
          <w:lang w:val="en-US"/>
        </w:rPr>
        <w:t>Interpretation </w:t>
      </w:r>
    </w:p>
    <w:p w:rsidR="00B40254" w:rsidRPr="002C6026" w:rsidRDefault="00B40254" w:rsidP="00B40254">
      <w:pPr>
        <w:spacing w:after="0" w:line="240" w:lineRule="auto"/>
        <w:rPr>
          <w:rFonts w:eastAsia="Times New Roman" w:cs="Arial"/>
          <w:color w:val="000000" w:themeColor="text1"/>
          <w:lang w:val="en-US"/>
        </w:rPr>
      </w:pPr>
      <w:r w:rsidRPr="002C6026">
        <w:rPr>
          <w:rFonts w:eastAsia="Times New Roman" w:cs="Arial"/>
          <w:color w:val="000000" w:themeColor="text1"/>
          <w:lang w:val="en-US"/>
        </w:rPr>
        <w:t>Serial monitoring of CA 19-9 should begin prior to therapy to verify post-therapy decreases in CA 19-9 and to establish a baseline for evaluating possible recurrence. Single values of CA 19-9 are less</w:t>
      </w:r>
      <w:r w:rsidR="002C6026" w:rsidRPr="002C6026">
        <w:rPr>
          <w:rFonts w:eastAsia="Times New Roman" w:cs="Arial"/>
          <w:color w:val="000000" w:themeColor="text1"/>
          <w:lang w:val="en-US"/>
        </w:rPr>
        <w:t xml:space="preserve"> </w:t>
      </w:r>
      <w:r w:rsidRPr="002C6026">
        <w:rPr>
          <w:rFonts w:eastAsia="Times New Roman" w:cs="Arial"/>
          <w:color w:val="000000" w:themeColor="text1"/>
          <w:lang w:val="en-US"/>
        </w:rPr>
        <w:t>informative.</w:t>
      </w:r>
    </w:p>
    <w:p w:rsidR="00B40254" w:rsidRPr="002C6026" w:rsidRDefault="00B40254" w:rsidP="00B40254">
      <w:pPr>
        <w:spacing w:after="0" w:line="240" w:lineRule="auto"/>
        <w:rPr>
          <w:rFonts w:eastAsia="Times New Roman" w:cs="Arial"/>
          <w:color w:val="000000" w:themeColor="text1"/>
          <w:lang w:val="en-US"/>
        </w:rPr>
      </w:pPr>
      <w:r w:rsidRPr="002C6026">
        <w:rPr>
          <w:rFonts w:eastAsia="Times New Roman" w:cs="Arial"/>
          <w:color w:val="000000" w:themeColor="text1"/>
          <w:lang w:val="en-US"/>
        </w:rPr>
        <w:t xml:space="preserve"> Elevated values may be caused by a variety of malignant and nonmalignant conditions including </w:t>
      </w:r>
      <w:proofErr w:type="spellStart"/>
      <w:r w:rsidRPr="002C6026">
        <w:rPr>
          <w:rFonts w:eastAsia="Times New Roman" w:cs="Arial"/>
          <w:color w:val="000000" w:themeColor="text1"/>
          <w:lang w:val="en-US"/>
        </w:rPr>
        <w:t>cholangiocarcinoma</w:t>
      </w:r>
      <w:proofErr w:type="spellEnd"/>
      <w:r w:rsidRPr="002C6026">
        <w:rPr>
          <w:rFonts w:eastAsia="Times New Roman" w:cs="Arial"/>
          <w:color w:val="000000" w:themeColor="text1"/>
          <w:lang w:val="en-US"/>
        </w:rPr>
        <w:t>, pancreatic cancer, and/or colon cancer.</w:t>
      </w:r>
    </w:p>
    <w:p w:rsidR="00B40254" w:rsidRPr="002C6026" w:rsidRDefault="00B40254" w:rsidP="00B40254">
      <w:pPr>
        <w:spacing w:after="0" w:line="240" w:lineRule="auto"/>
        <w:outlineLvl w:val="1"/>
        <w:rPr>
          <w:rFonts w:eastAsia="Times New Roman" w:cs="Times New Roman"/>
          <w:b/>
          <w:bCs/>
          <w:color w:val="000000" w:themeColor="text1"/>
          <w:lang w:val="en-US"/>
        </w:rPr>
      </w:pPr>
      <w:r w:rsidRPr="002C6026">
        <w:rPr>
          <w:rFonts w:eastAsia="Times New Roman" w:cs="Times New Roman"/>
          <w:b/>
          <w:bCs/>
          <w:color w:val="000000" w:themeColor="text1"/>
          <w:lang w:val="en-US"/>
        </w:rPr>
        <w:t>Cautions </w:t>
      </w:r>
    </w:p>
    <w:p w:rsidR="00B40254" w:rsidRPr="00425958" w:rsidRDefault="00B40254" w:rsidP="00425958">
      <w:pPr>
        <w:pStyle w:val="ListParagraph"/>
        <w:numPr>
          <w:ilvl w:val="0"/>
          <w:numId w:val="1"/>
        </w:numPr>
        <w:spacing w:after="0" w:line="240" w:lineRule="auto"/>
        <w:rPr>
          <w:rFonts w:eastAsia="Times New Roman" w:cs="Arial"/>
          <w:color w:val="000000" w:themeColor="text1"/>
          <w:lang w:val="en-US"/>
        </w:rPr>
      </w:pPr>
      <w:r w:rsidRPr="00425958">
        <w:rPr>
          <w:rFonts w:eastAsia="Times New Roman" w:cs="Arial"/>
          <w:color w:val="000000" w:themeColor="text1"/>
          <w:lang w:val="en-US"/>
        </w:rPr>
        <w:t>Some individuals do not express CA 19-9. Consequently low values in these individuals are not informative regarding cancer recurrence.</w:t>
      </w:r>
    </w:p>
    <w:p w:rsidR="00B40254" w:rsidRPr="00425958" w:rsidRDefault="00B40254" w:rsidP="00425958">
      <w:pPr>
        <w:pStyle w:val="ListParagraph"/>
        <w:numPr>
          <w:ilvl w:val="0"/>
          <w:numId w:val="1"/>
        </w:numPr>
        <w:spacing w:after="0" w:line="240" w:lineRule="auto"/>
        <w:rPr>
          <w:rFonts w:eastAsia="Times New Roman" w:cs="Arial"/>
          <w:color w:val="000000" w:themeColor="text1"/>
          <w:lang w:val="en-US"/>
        </w:rPr>
      </w:pPr>
      <w:r w:rsidRPr="00425958">
        <w:rPr>
          <w:rFonts w:eastAsia="Times New Roman" w:cs="Arial"/>
          <w:color w:val="000000" w:themeColor="text1"/>
          <w:lang w:val="en-US"/>
        </w:rPr>
        <w:t xml:space="preserve">Do not interpret serum CA 19-9 levels as absolute evidence of the presence or the absence of malignant disease. Use serum CA 19-9 in conjunction with information from the clinical evaluation of </w:t>
      </w:r>
      <w:proofErr w:type="spellStart"/>
      <w:r w:rsidRPr="00425958">
        <w:rPr>
          <w:rFonts w:eastAsia="Times New Roman" w:cs="Arial"/>
          <w:color w:val="000000" w:themeColor="text1"/>
          <w:lang w:val="en-US"/>
        </w:rPr>
        <w:t>thepatient</w:t>
      </w:r>
      <w:proofErr w:type="spellEnd"/>
      <w:r w:rsidRPr="00425958">
        <w:rPr>
          <w:rFonts w:eastAsia="Times New Roman" w:cs="Arial"/>
          <w:color w:val="000000" w:themeColor="text1"/>
          <w:lang w:val="en-US"/>
        </w:rPr>
        <w:t xml:space="preserve"> and other diagnostic procedures.</w:t>
      </w:r>
    </w:p>
    <w:p w:rsidR="006410F4" w:rsidRPr="006410F4" w:rsidRDefault="00B40254" w:rsidP="006410F4">
      <w:pPr>
        <w:pStyle w:val="ListParagraph"/>
        <w:numPr>
          <w:ilvl w:val="0"/>
          <w:numId w:val="1"/>
        </w:numPr>
        <w:spacing w:after="0" w:line="240" w:lineRule="atLeast"/>
        <w:ind w:left="360" w:firstLine="90"/>
        <w:rPr>
          <w:rFonts w:ascii="Arial" w:eastAsia="Times New Roman" w:hAnsi="Arial" w:cs="Arial"/>
          <w:color w:val="000000"/>
          <w:sz w:val="18"/>
          <w:szCs w:val="18"/>
          <w:lang w:val="en-US" w:bidi="ar-SA"/>
        </w:rPr>
      </w:pPr>
      <w:r w:rsidRPr="006410F4">
        <w:rPr>
          <w:rFonts w:eastAsia="Times New Roman" w:cs="Arial"/>
          <w:color w:val="000000" w:themeColor="text1"/>
          <w:lang w:val="en-US"/>
        </w:rPr>
        <w:t xml:space="preserve">Some patients who have been exposed to animal antigens, either in the environment or as part </w:t>
      </w:r>
      <w:r w:rsidR="006410F4">
        <w:rPr>
          <w:rFonts w:eastAsia="Times New Roman" w:cs="Arial"/>
          <w:color w:val="000000" w:themeColor="text1"/>
          <w:lang w:val="en-US"/>
        </w:rPr>
        <w:tab/>
      </w:r>
      <w:r w:rsidRPr="006410F4">
        <w:rPr>
          <w:rFonts w:eastAsia="Times New Roman" w:cs="Arial"/>
          <w:color w:val="000000" w:themeColor="text1"/>
          <w:lang w:val="en-US"/>
        </w:rPr>
        <w:t xml:space="preserve">of treatment or imaging procedures, may have circulating </w:t>
      </w:r>
      <w:proofErr w:type="spellStart"/>
      <w:r w:rsidRPr="006410F4">
        <w:rPr>
          <w:rFonts w:eastAsia="Times New Roman" w:cs="Arial"/>
          <w:color w:val="000000" w:themeColor="text1"/>
          <w:lang w:val="en-US"/>
        </w:rPr>
        <w:t>antianimal</w:t>
      </w:r>
      <w:proofErr w:type="spellEnd"/>
      <w:r w:rsidRPr="006410F4">
        <w:rPr>
          <w:rFonts w:eastAsia="Times New Roman" w:cs="Arial"/>
          <w:color w:val="000000" w:themeColor="text1"/>
          <w:lang w:val="en-US"/>
        </w:rPr>
        <w:t xml:space="preserve"> antibodies present. These </w:t>
      </w:r>
      <w:r w:rsidR="006410F4">
        <w:rPr>
          <w:rFonts w:eastAsia="Times New Roman" w:cs="Arial"/>
          <w:color w:val="000000" w:themeColor="text1"/>
          <w:lang w:val="en-US"/>
        </w:rPr>
        <w:tab/>
      </w:r>
      <w:r w:rsidRPr="006410F4">
        <w:rPr>
          <w:rFonts w:eastAsia="Times New Roman" w:cs="Arial"/>
          <w:color w:val="000000" w:themeColor="text1"/>
          <w:lang w:val="en-US"/>
        </w:rPr>
        <w:t>antibodies</w:t>
      </w:r>
      <w:r w:rsidR="00425958" w:rsidRPr="006410F4">
        <w:rPr>
          <w:rFonts w:eastAsia="Times New Roman" w:cs="Arial"/>
          <w:color w:val="000000" w:themeColor="text1"/>
          <w:lang w:val="en-US"/>
        </w:rPr>
        <w:t xml:space="preserve"> </w:t>
      </w:r>
      <w:r w:rsidRPr="006410F4">
        <w:rPr>
          <w:rFonts w:eastAsia="Times New Roman" w:cs="Arial"/>
          <w:color w:val="000000" w:themeColor="text1"/>
          <w:lang w:val="en-US"/>
        </w:rPr>
        <w:t>may interfere with the assay reagents to produce unreliable results.</w:t>
      </w:r>
    </w:p>
    <w:p w:rsidR="006410F4" w:rsidRPr="006410F4" w:rsidRDefault="006410F4" w:rsidP="006410F4">
      <w:pPr>
        <w:pStyle w:val="ListParagraph"/>
        <w:numPr>
          <w:ilvl w:val="0"/>
          <w:numId w:val="1"/>
        </w:numPr>
        <w:spacing w:after="0" w:line="240" w:lineRule="atLeast"/>
        <w:ind w:left="360" w:firstLine="90"/>
        <w:rPr>
          <w:rFonts w:ascii="Arial" w:eastAsia="Times New Roman" w:hAnsi="Arial" w:cs="Arial"/>
          <w:color w:val="000000"/>
          <w:sz w:val="18"/>
          <w:szCs w:val="18"/>
          <w:lang w:val="en-US" w:bidi="ar-SA"/>
        </w:rPr>
      </w:pPr>
      <w:r w:rsidRPr="006410F4">
        <w:rPr>
          <w:rFonts w:ascii="Arial" w:eastAsia="Times New Roman" w:hAnsi="Arial" w:cs="Arial"/>
          <w:color w:val="000000"/>
          <w:sz w:val="18"/>
          <w:szCs w:val="18"/>
          <w:lang w:val="en-US" w:bidi="ar-SA"/>
        </w:rPr>
        <w:t> </w:t>
      </w:r>
      <w:r w:rsidRPr="006410F4">
        <w:rPr>
          <w:rFonts w:ascii="Arial" w:eastAsia="Times New Roman" w:hAnsi="Arial" w:cs="Arial"/>
          <w:color w:val="000000"/>
          <w:sz w:val="18"/>
          <w:lang w:val="en-US" w:bidi="ar-SA"/>
        </w:rPr>
        <w:t xml:space="preserve">In practice, the sensitivity for early cancer is much less. Serum levels are elevated in less than 30% of </w:t>
      </w:r>
      <w:r>
        <w:rPr>
          <w:rFonts w:ascii="Arial" w:eastAsia="Times New Roman" w:hAnsi="Arial" w:cs="Arial"/>
          <w:color w:val="000000"/>
          <w:sz w:val="18"/>
          <w:lang w:val="en-US" w:bidi="ar-SA"/>
        </w:rPr>
        <w:tab/>
      </w:r>
      <w:r w:rsidRPr="006410F4">
        <w:rPr>
          <w:rFonts w:ascii="Arial" w:eastAsia="Times New Roman" w:hAnsi="Arial" w:cs="Arial"/>
          <w:color w:val="000000"/>
          <w:sz w:val="18"/>
          <w:lang w:val="en-US" w:bidi="ar-SA"/>
        </w:rPr>
        <w:t>patients with stage 1 cancers.</w:t>
      </w:r>
      <w:r w:rsidRPr="006410F4">
        <w:rPr>
          <w:rFonts w:ascii="Arial" w:eastAsia="Times New Roman" w:hAnsi="Arial" w:cs="Arial"/>
          <w:color w:val="000000"/>
          <w:sz w:val="18"/>
          <w:szCs w:val="18"/>
          <w:lang w:val="en-US" w:bidi="ar-SA"/>
        </w:rPr>
        <w:br/>
      </w:r>
      <w:r w:rsidRPr="006410F4">
        <w:rPr>
          <w:rFonts w:ascii="Arial" w:eastAsia="Times New Roman" w:hAnsi="Arial" w:cs="Arial"/>
          <w:color w:val="000000"/>
          <w:sz w:val="18"/>
          <w:szCs w:val="18"/>
          <w:lang w:val="en-US" w:bidi="ar-SA"/>
        </w:rPr>
        <w:br/>
      </w:r>
      <w:r w:rsidRPr="006410F4">
        <w:rPr>
          <w:rFonts w:ascii="Arial" w:eastAsia="Times New Roman" w:hAnsi="Arial" w:cs="Arial"/>
          <w:color w:val="000000"/>
          <w:sz w:val="18"/>
          <w:lang w:val="en-US" w:bidi="ar-SA"/>
        </w:rPr>
        <w:t xml:space="preserve">Elevated CA 19.9 levels are not specific for pancreatic cancer, but are elevated in other benign and malignant disorders. Other GI malignancies are also associated with elevated CA 19.9 levels, but not usually to the same extent as pancreatic cancer. CA 19.9 is elevated in 67% of bile duct cancers, 41% of gastric cancers, 34% of colon cancers, 22% of esophageal cancers, 49% of </w:t>
      </w:r>
      <w:proofErr w:type="spellStart"/>
      <w:r w:rsidRPr="006410F4">
        <w:rPr>
          <w:rFonts w:ascii="Arial" w:eastAsia="Times New Roman" w:hAnsi="Arial" w:cs="Arial"/>
          <w:color w:val="000000"/>
          <w:sz w:val="18"/>
          <w:lang w:val="en-US" w:bidi="ar-SA"/>
        </w:rPr>
        <w:t>hepatomas</w:t>
      </w:r>
      <w:proofErr w:type="spellEnd"/>
      <w:r w:rsidRPr="006410F4">
        <w:rPr>
          <w:rFonts w:ascii="Arial" w:eastAsia="Times New Roman" w:hAnsi="Arial" w:cs="Arial"/>
          <w:color w:val="000000"/>
          <w:sz w:val="18"/>
          <w:lang w:val="en-US" w:bidi="ar-SA"/>
        </w:rPr>
        <w:t xml:space="preserve">, and 14% of non-gastrointestinal tract cancers. Most benign disorders cause lower elevations of serum CA 19.9. However, two benign conditions, cirrhosis and acute </w:t>
      </w:r>
      <w:proofErr w:type="spellStart"/>
      <w:r w:rsidRPr="006410F4">
        <w:rPr>
          <w:rFonts w:ascii="Arial" w:eastAsia="Times New Roman" w:hAnsi="Arial" w:cs="Arial"/>
          <w:color w:val="000000"/>
          <w:sz w:val="18"/>
          <w:lang w:val="en-US" w:bidi="ar-SA"/>
        </w:rPr>
        <w:t>cholangitis</w:t>
      </w:r>
      <w:proofErr w:type="spellEnd"/>
      <w:r w:rsidRPr="006410F4">
        <w:rPr>
          <w:rFonts w:ascii="Arial" w:eastAsia="Times New Roman" w:hAnsi="Arial" w:cs="Arial"/>
          <w:color w:val="000000"/>
          <w:sz w:val="18"/>
          <w:lang w:val="en-US" w:bidi="ar-SA"/>
        </w:rPr>
        <w:t xml:space="preserve">, can cause high CA 19.9 levels. In acute </w:t>
      </w:r>
      <w:proofErr w:type="spellStart"/>
      <w:r w:rsidRPr="006410F4">
        <w:rPr>
          <w:rFonts w:ascii="Arial" w:eastAsia="Times New Roman" w:hAnsi="Arial" w:cs="Arial"/>
          <w:color w:val="000000"/>
          <w:sz w:val="18"/>
          <w:lang w:val="en-US" w:bidi="ar-SA"/>
        </w:rPr>
        <w:t>cholangitis</w:t>
      </w:r>
      <w:proofErr w:type="spellEnd"/>
      <w:r w:rsidRPr="006410F4">
        <w:rPr>
          <w:rFonts w:ascii="Arial" w:eastAsia="Times New Roman" w:hAnsi="Arial" w:cs="Arial"/>
          <w:color w:val="000000"/>
          <w:sz w:val="18"/>
          <w:lang w:val="en-US" w:bidi="ar-SA"/>
        </w:rPr>
        <w:t>, levels rapidly return to normal following decompression of the common duct.</w:t>
      </w:r>
      <w:r w:rsidRPr="006410F4">
        <w:rPr>
          <w:rFonts w:ascii="Arial" w:eastAsia="Times New Roman" w:hAnsi="Arial" w:cs="Arial"/>
          <w:color w:val="000000"/>
          <w:sz w:val="18"/>
          <w:szCs w:val="18"/>
          <w:lang w:val="en-US" w:bidi="ar-SA"/>
        </w:rPr>
        <w:br/>
      </w:r>
      <w:r w:rsidRPr="006410F4">
        <w:rPr>
          <w:rFonts w:ascii="Arial" w:eastAsia="Times New Roman" w:hAnsi="Arial" w:cs="Arial"/>
          <w:color w:val="000000"/>
          <w:sz w:val="18"/>
          <w:szCs w:val="18"/>
          <w:lang w:val="en-US" w:bidi="ar-SA"/>
        </w:rPr>
        <w:br/>
      </w:r>
      <w:r w:rsidRPr="006410F4">
        <w:rPr>
          <w:rFonts w:ascii="Arial" w:eastAsia="Times New Roman" w:hAnsi="Arial" w:cs="Arial"/>
          <w:color w:val="000000"/>
          <w:sz w:val="18"/>
          <w:u w:val="single"/>
          <w:lang w:val="en-US" w:bidi="ar-SA"/>
        </w:rPr>
        <w:t>CA 19.9 is the most useful circulating tumor marker for evaluating patients who present with signs and symptoms of a chronic pancreatic disorder.</w:t>
      </w:r>
      <w:r w:rsidRPr="006410F4">
        <w:rPr>
          <w:rFonts w:ascii="Arial" w:eastAsia="Times New Roman" w:hAnsi="Arial" w:cs="Arial"/>
          <w:color w:val="000000"/>
          <w:sz w:val="18"/>
          <w:lang w:val="en-US" w:bidi="ar-SA"/>
        </w:rPr>
        <w:t xml:space="preserve"> In this population the prevalence of cancer is about 17%. Using an upper limit of normal of 40 U/</w:t>
      </w:r>
      <w:proofErr w:type="spellStart"/>
      <w:r w:rsidRPr="006410F4">
        <w:rPr>
          <w:rFonts w:ascii="Arial" w:eastAsia="Times New Roman" w:hAnsi="Arial" w:cs="Arial"/>
          <w:color w:val="000000"/>
          <w:sz w:val="18"/>
          <w:lang w:val="en-US" w:bidi="ar-SA"/>
        </w:rPr>
        <w:t>mL</w:t>
      </w:r>
      <w:proofErr w:type="spellEnd"/>
      <w:r w:rsidRPr="006410F4">
        <w:rPr>
          <w:rFonts w:ascii="Arial" w:eastAsia="Times New Roman" w:hAnsi="Arial" w:cs="Arial"/>
          <w:color w:val="000000"/>
          <w:sz w:val="18"/>
          <w:lang w:val="en-US" w:bidi="ar-SA"/>
        </w:rPr>
        <w:t>, serum CA 19.9 assays have a sensitivity of 81%, specificity of 90%, and a positive predictive value of 72%. The specificity and positive predictive value for cancer increase with higher CA 19.9 values. The higher the CA 19.9 level, the greater the likelihood of cancer. Levels &gt;300 have a positive predictive value of 92%.</w:t>
      </w:r>
    </w:p>
    <w:p w:rsidR="006410F4" w:rsidRPr="00D85F2C" w:rsidRDefault="006410F4" w:rsidP="006410F4">
      <w:pPr>
        <w:spacing w:after="0" w:line="240" w:lineRule="atLeast"/>
        <w:ind w:left="360"/>
        <w:rPr>
          <w:rFonts w:ascii="Arial" w:eastAsia="Times New Roman" w:hAnsi="Arial" w:cs="Arial"/>
          <w:color w:val="000000"/>
          <w:sz w:val="18"/>
          <w:szCs w:val="18"/>
          <w:lang w:val="en-US" w:bidi="ar-SA"/>
        </w:rPr>
      </w:pPr>
      <w:r w:rsidRPr="006410F4">
        <w:rPr>
          <w:rFonts w:ascii="Arial" w:eastAsia="Times New Roman" w:hAnsi="Arial" w:cs="Arial"/>
          <w:color w:val="000000"/>
          <w:sz w:val="18"/>
          <w:szCs w:val="18"/>
          <w:lang w:val="en-US" w:bidi="ar-SA"/>
        </w:rPr>
        <w:br/>
      </w:r>
      <w:r w:rsidRPr="006410F4">
        <w:rPr>
          <w:rFonts w:ascii="Arial" w:eastAsia="Times New Roman" w:hAnsi="Arial" w:cs="Arial"/>
          <w:color w:val="000000"/>
          <w:sz w:val="18"/>
          <w:lang w:val="en-US" w:bidi="ar-SA"/>
        </w:rPr>
        <w:t>The location of the tumor within the pancreas does not appear to affect sensitivity. Both tumors of the head and the body-tail region cause elevations of similar magnitude. Tumor size is an important determinant of sensitivity. CA 19.9 is elevated in approximately 90% of patients with tumors greater than 3 cm in diameter, but in only 50% of patients with tumors between 2 and 3 cm. Less than 30% of patients with tumors smaller than 2 cm have elevated CA 19.9 levels. Histologic grade also affects CA 19.9 sensitivity. Poorly differentiated tumors do not express CA 19.9 as often as well differentiated tumors.</w:t>
      </w:r>
      <w:r w:rsidRPr="006410F4">
        <w:rPr>
          <w:rFonts w:ascii="Arial" w:eastAsia="Times New Roman" w:hAnsi="Arial" w:cs="Arial"/>
          <w:color w:val="000000"/>
          <w:sz w:val="18"/>
          <w:szCs w:val="18"/>
          <w:lang w:val="en-US" w:bidi="ar-SA"/>
        </w:rPr>
        <w:br/>
      </w:r>
      <w:r w:rsidRPr="006410F4">
        <w:rPr>
          <w:rFonts w:ascii="Arial" w:eastAsia="Times New Roman" w:hAnsi="Arial" w:cs="Arial"/>
          <w:color w:val="000000"/>
          <w:sz w:val="18"/>
          <w:szCs w:val="18"/>
          <w:lang w:val="en-US" w:bidi="ar-SA"/>
        </w:rPr>
        <w:lastRenderedPageBreak/>
        <w:br/>
      </w:r>
      <w:r w:rsidRPr="006410F4">
        <w:rPr>
          <w:rFonts w:ascii="Arial" w:eastAsia="Times New Roman" w:hAnsi="Arial" w:cs="Arial"/>
          <w:color w:val="000000"/>
          <w:sz w:val="18"/>
          <w:lang w:val="en-US" w:bidi="ar-SA"/>
        </w:rPr>
        <w:t xml:space="preserve">CA 19.9 can be used in conjunction with CT scan, arteriogram, and endoscopic retrograde </w:t>
      </w:r>
      <w:proofErr w:type="spellStart"/>
      <w:r w:rsidRPr="006410F4">
        <w:rPr>
          <w:rFonts w:ascii="Arial" w:eastAsia="Times New Roman" w:hAnsi="Arial" w:cs="Arial"/>
          <w:color w:val="000000"/>
          <w:sz w:val="18"/>
          <w:lang w:val="en-US" w:bidi="ar-SA"/>
        </w:rPr>
        <w:t>cholangio-pancreatography</w:t>
      </w:r>
      <w:proofErr w:type="spellEnd"/>
      <w:r w:rsidRPr="006410F4">
        <w:rPr>
          <w:rFonts w:ascii="Arial" w:eastAsia="Times New Roman" w:hAnsi="Arial" w:cs="Arial"/>
          <w:color w:val="000000"/>
          <w:sz w:val="18"/>
          <w:lang w:val="en-US" w:bidi="ar-SA"/>
        </w:rPr>
        <w:t xml:space="preserve"> to determine tumor </w:t>
      </w:r>
      <w:proofErr w:type="spellStart"/>
      <w:r w:rsidRPr="006410F4">
        <w:rPr>
          <w:rFonts w:ascii="Arial" w:eastAsia="Times New Roman" w:hAnsi="Arial" w:cs="Arial"/>
          <w:color w:val="000000"/>
          <w:sz w:val="18"/>
          <w:lang w:val="en-US" w:bidi="ar-SA"/>
        </w:rPr>
        <w:t>resectability</w:t>
      </w:r>
      <w:proofErr w:type="spellEnd"/>
      <w:r w:rsidRPr="006410F4">
        <w:rPr>
          <w:rFonts w:ascii="Arial" w:eastAsia="Times New Roman" w:hAnsi="Arial" w:cs="Arial"/>
          <w:color w:val="000000"/>
          <w:sz w:val="18"/>
          <w:lang w:val="en-US" w:bidi="ar-SA"/>
        </w:rPr>
        <w:t xml:space="preserve">. High levels strongly suggest that the tumor is </w:t>
      </w:r>
      <w:proofErr w:type="spellStart"/>
      <w:r w:rsidRPr="006410F4">
        <w:rPr>
          <w:rFonts w:ascii="Arial" w:eastAsia="Times New Roman" w:hAnsi="Arial" w:cs="Arial"/>
          <w:color w:val="000000"/>
          <w:sz w:val="18"/>
          <w:lang w:val="en-US" w:bidi="ar-SA"/>
        </w:rPr>
        <w:t>unresectable</w:t>
      </w:r>
      <w:proofErr w:type="spellEnd"/>
      <w:r w:rsidRPr="006410F4">
        <w:rPr>
          <w:rFonts w:ascii="Arial" w:eastAsia="Times New Roman" w:hAnsi="Arial" w:cs="Arial"/>
          <w:color w:val="000000"/>
          <w:sz w:val="18"/>
          <w:lang w:val="en-US" w:bidi="ar-SA"/>
        </w:rPr>
        <w:t>. Essentially all patients with CA 19.9 levels above 1000 U/</w:t>
      </w:r>
      <w:proofErr w:type="spellStart"/>
      <w:r w:rsidRPr="006410F4">
        <w:rPr>
          <w:rFonts w:ascii="Arial" w:eastAsia="Times New Roman" w:hAnsi="Arial" w:cs="Arial"/>
          <w:color w:val="000000"/>
          <w:sz w:val="18"/>
          <w:lang w:val="en-US" w:bidi="ar-SA"/>
        </w:rPr>
        <w:t>mL</w:t>
      </w:r>
      <w:proofErr w:type="spellEnd"/>
      <w:r w:rsidRPr="006410F4">
        <w:rPr>
          <w:rFonts w:ascii="Arial" w:eastAsia="Times New Roman" w:hAnsi="Arial" w:cs="Arial"/>
          <w:color w:val="000000"/>
          <w:sz w:val="18"/>
          <w:lang w:val="en-US" w:bidi="ar-SA"/>
        </w:rPr>
        <w:t xml:space="preserve"> have tumors greater than 5 cm in diameter and only 5% of </w:t>
      </w:r>
      <w:proofErr w:type="gramStart"/>
      <w:r w:rsidRPr="006410F4">
        <w:rPr>
          <w:rFonts w:ascii="Arial" w:eastAsia="Times New Roman" w:hAnsi="Arial" w:cs="Arial"/>
          <w:color w:val="000000"/>
          <w:sz w:val="18"/>
          <w:lang w:val="en-US" w:bidi="ar-SA"/>
        </w:rPr>
        <w:t>this group have</w:t>
      </w:r>
      <w:proofErr w:type="gramEnd"/>
      <w:r w:rsidRPr="006410F4">
        <w:rPr>
          <w:rFonts w:ascii="Arial" w:eastAsia="Times New Roman" w:hAnsi="Arial" w:cs="Arial"/>
          <w:color w:val="000000"/>
          <w:sz w:val="18"/>
          <w:lang w:val="en-US" w:bidi="ar-SA"/>
        </w:rPr>
        <w:t xml:space="preserve"> </w:t>
      </w:r>
      <w:proofErr w:type="spellStart"/>
      <w:r w:rsidRPr="006410F4">
        <w:rPr>
          <w:rFonts w:ascii="Arial" w:eastAsia="Times New Roman" w:hAnsi="Arial" w:cs="Arial"/>
          <w:color w:val="000000"/>
          <w:sz w:val="18"/>
          <w:lang w:val="en-US" w:bidi="ar-SA"/>
        </w:rPr>
        <w:t>resectable</w:t>
      </w:r>
      <w:proofErr w:type="spellEnd"/>
      <w:r w:rsidRPr="006410F4">
        <w:rPr>
          <w:rFonts w:ascii="Arial" w:eastAsia="Times New Roman" w:hAnsi="Arial" w:cs="Arial"/>
          <w:color w:val="000000"/>
          <w:sz w:val="18"/>
          <w:lang w:val="en-US" w:bidi="ar-SA"/>
        </w:rPr>
        <w:t xml:space="preserve"> tumors. Half of the patients with pre-treatment CA 19.9 levels below 1000 U/</w:t>
      </w:r>
      <w:proofErr w:type="spellStart"/>
      <w:r w:rsidRPr="006410F4">
        <w:rPr>
          <w:rFonts w:ascii="Arial" w:eastAsia="Times New Roman" w:hAnsi="Arial" w:cs="Arial"/>
          <w:color w:val="000000"/>
          <w:sz w:val="18"/>
          <w:lang w:val="en-US" w:bidi="ar-SA"/>
        </w:rPr>
        <w:t>mL</w:t>
      </w:r>
      <w:proofErr w:type="spellEnd"/>
      <w:r w:rsidRPr="006410F4">
        <w:rPr>
          <w:rFonts w:ascii="Arial" w:eastAsia="Times New Roman" w:hAnsi="Arial" w:cs="Arial"/>
          <w:color w:val="000000"/>
          <w:sz w:val="18"/>
          <w:lang w:val="en-US" w:bidi="ar-SA"/>
        </w:rPr>
        <w:t xml:space="preserve"> have a </w:t>
      </w:r>
      <w:proofErr w:type="spellStart"/>
      <w:r w:rsidRPr="006410F4">
        <w:rPr>
          <w:rFonts w:ascii="Arial" w:eastAsia="Times New Roman" w:hAnsi="Arial" w:cs="Arial"/>
          <w:color w:val="000000"/>
          <w:sz w:val="18"/>
          <w:lang w:val="en-US" w:bidi="ar-SA"/>
        </w:rPr>
        <w:t>resectable</w:t>
      </w:r>
      <w:proofErr w:type="spellEnd"/>
      <w:r w:rsidRPr="006410F4">
        <w:rPr>
          <w:rFonts w:ascii="Arial" w:eastAsia="Times New Roman" w:hAnsi="Arial" w:cs="Arial"/>
          <w:color w:val="000000"/>
          <w:sz w:val="18"/>
          <w:lang w:val="en-US" w:bidi="ar-SA"/>
        </w:rPr>
        <w:t xml:space="preserve"> tumor.</w:t>
      </w:r>
      <w:r w:rsidRPr="006410F4">
        <w:rPr>
          <w:rFonts w:ascii="Arial" w:eastAsia="Times New Roman" w:hAnsi="Arial" w:cs="Arial"/>
          <w:color w:val="000000"/>
          <w:sz w:val="18"/>
          <w:szCs w:val="18"/>
          <w:lang w:val="en-US" w:bidi="ar-SA"/>
        </w:rPr>
        <w:br/>
      </w:r>
      <w:r w:rsidRPr="006410F4">
        <w:rPr>
          <w:rFonts w:ascii="Arial" w:eastAsia="Times New Roman" w:hAnsi="Arial" w:cs="Arial"/>
          <w:color w:val="000000"/>
          <w:sz w:val="18"/>
          <w:szCs w:val="18"/>
          <w:lang w:val="en-US" w:bidi="ar-SA"/>
        </w:rPr>
        <w:br/>
      </w:r>
      <w:r w:rsidRPr="006410F4">
        <w:rPr>
          <w:rFonts w:ascii="Arial" w:eastAsia="Times New Roman" w:hAnsi="Arial" w:cs="Arial"/>
          <w:color w:val="000000"/>
          <w:sz w:val="18"/>
          <w:lang w:val="en-US" w:bidi="ar-SA"/>
        </w:rPr>
        <w:t>CA 19.9 levels are also useful in predicting survival and recurrence after surgery. Patients with elevated pre-surgical CA 19.9 levels, which normalize after surgery, have a better prognosis than patients whose CA 19.9 levels remain elevated. Progressively rising CA 19.9 levels after surgery predict cancer recurrence several months before CT scan.</w:t>
      </w:r>
      <w:r w:rsidRPr="006410F4">
        <w:rPr>
          <w:rFonts w:ascii="Arial" w:eastAsia="Times New Roman" w:hAnsi="Arial" w:cs="Arial"/>
          <w:color w:val="000000"/>
          <w:sz w:val="18"/>
          <w:szCs w:val="18"/>
          <w:lang w:val="en-US" w:bidi="ar-SA"/>
        </w:rPr>
        <w:br/>
      </w:r>
      <w:r w:rsidRPr="006410F4">
        <w:rPr>
          <w:rFonts w:ascii="Arial" w:eastAsia="Times New Roman" w:hAnsi="Arial" w:cs="Arial"/>
          <w:color w:val="000000"/>
          <w:sz w:val="18"/>
          <w:szCs w:val="18"/>
          <w:lang w:val="en-US" w:bidi="ar-SA"/>
        </w:rPr>
        <w:br/>
      </w:r>
      <w:r w:rsidRPr="006410F4">
        <w:rPr>
          <w:rFonts w:ascii="Arial" w:eastAsia="Times New Roman" w:hAnsi="Arial" w:cs="Arial"/>
          <w:color w:val="000000"/>
          <w:sz w:val="18"/>
          <w:lang w:val="en-US" w:bidi="ar-SA"/>
        </w:rPr>
        <w:t xml:space="preserve">Another use for CA 19.9 is to detect </w:t>
      </w:r>
      <w:proofErr w:type="spellStart"/>
      <w:r w:rsidRPr="006410F4">
        <w:rPr>
          <w:rFonts w:ascii="Arial" w:eastAsia="Times New Roman" w:hAnsi="Arial" w:cs="Arial"/>
          <w:color w:val="000000"/>
          <w:sz w:val="18"/>
          <w:lang w:val="en-US" w:bidi="ar-SA"/>
        </w:rPr>
        <w:t>cholangiocarcinoma</w:t>
      </w:r>
      <w:proofErr w:type="spellEnd"/>
      <w:r w:rsidRPr="006410F4">
        <w:rPr>
          <w:rFonts w:ascii="Arial" w:eastAsia="Times New Roman" w:hAnsi="Arial" w:cs="Arial"/>
          <w:color w:val="000000"/>
          <w:sz w:val="18"/>
          <w:lang w:val="en-US" w:bidi="ar-SA"/>
        </w:rPr>
        <w:t xml:space="preserve"> in patients with primary </w:t>
      </w:r>
      <w:proofErr w:type="spellStart"/>
      <w:r w:rsidRPr="006410F4">
        <w:rPr>
          <w:rFonts w:ascii="Arial" w:eastAsia="Times New Roman" w:hAnsi="Arial" w:cs="Arial"/>
          <w:color w:val="000000"/>
          <w:sz w:val="18"/>
          <w:lang w:val="en-US" w:bidi="ar-SA"/>
        </w:rPr>
        <w:t>sclerosing</w:t>
      </w:r>
      <w:proofErr w:type="spellEnd"/>
      <w:r w:rsidRPr="006410F4">
        <w:rPr>
          <w:rFonts w:ascii="Arial" w:eastAsia="Times New Roman" w:hAnsi="Arial" w:cs="Arial"/>
          <w:color w:val="000000"/>
          <w:sz w:val="18"/>
          <w:lang w:val="en-US" w:bidi="ar-SA"/>
        </w:rPr>
        <w:t xml:space="preserve"> </w:t>
      </w:r>
      <w:proofErr w:type="spellStart"/>
      <w:r w:rsidRPr="006410F4">
        <w:rPr>
          <w:rFonts w:ascii="Arial" w:eastAsia="Times New Roman" w:hAnsi="Arial" w:cs="Arial"/>
          <w:color w:val="000000"/>
          <w:sz w:val="18"/>
          <w:lang w:val="en-US" w:bidi="ar-SA"/>
        </w:rPr>
        <w:t>cholangitis</w:t>
      </w:r>
      <w:proofErr w:type="spellEnd"/>
      <w:r w:rsidRPr="006410F4">
        <w:rPr>
          <w:rFonts w:ascii="Arial" w:eastAsia="Times New Roman" w:hAnsi="Arial" w:cs="Arial"/>
          <w:color w:val="000000"/>
          <w:sz w:val="18"/>
          <w:lang w:val="en-US" w:bidi="ar-SA"/>
        </w:rPr>
        <w:t xml:space="preserve">. CA 19.9 levels are increased in 15% of patients with primary </w:t>
      </w:r>
      <w:proofErr w:type="spellStart"/>
      <w:r w:rsidRPr="006410F4">
        <w:rPr>
          <w:rFonts w:ascii="Arial" w:eastAsia="Times New Roman" w:hAnsi="Arial" w:cs="Arial"/>
          <w:color w:val="000000"/>
          <w:sz w:val="18"/>
          <w:lang w:val="en-US" w:bidi="ar-SA"/>
        </w:rPr>
        <w:t>sclerosing</w:t>
      </w:r>
      <w:proofErr w:type="spellEnd"/>
      <w:r w:rsidRPr="006410F4">
        <w:rPr>
          <w:rFonts w:ascii="Arial" w:eastAsia="Times New Roman" w:hAnsi="Arial" w:cs="Arial"/>
          <w:color w:val="000000"/>
          <w:sz w:val="18"/>
          <w:lang w:val="en-US" w:bidi="ar-SA"/>
        </w:rPr>
        <w:t xml:space="preserve"> </w:t>
      </w:r>
      <w:proofErr w:type="spellStart"/>
      <w:r w:rsidRPr="006410F4">
        <w:rPr>
          <w:rFonts w:ascii="Arial" w:eastAsia="Times New Roman" w:hAnsi="Arial" w:cs="Arial"/>
          <w:color w:val="000000"/>
          <w:sz w:val="18"/>
          <w:lang w:val="en-US" w:bidi="ar-SA"/>
        </w:rPr>
        <w:t>cholanitis</w:t>
      </w:r>
      <w:proofErr w:type="spellEnd"/>
      <w:r w:rsidRPr="006410F4">
        <w:rPr>
          <w:rFonts w:ascii="Arial" w:eastAsia="Times New Roman" w:hAnsi="Arial" w:cs="Arial"/>
          <w:color w:val="000000"/>
          <w:sz w:val="18"/>
          <w:lang w:val="en-US" w:bidi="ar-SA"/>
        </w:rPr>
        <w:t xml:space="preserve"> without cancer and in 90% of patients with cancer. The sensitivity of a CA 19.9 level greater than 100 U/</w:t>
      </w:r>
      <w:proofErr w:type="spellStart"/>
      <w:r w:rsidRPr="006410F4">
        <w:rPr>
          <w:rFonts w:ascii="Arial" w:eastAsia="Times New Roman" w:hAnsi="Arial" w:cs="Arial"/>
          <w:color w:val="000000"/>
          <w:sz w:val="18"/>
          <w:lang w:val="en-US" w:bidi="ar-SA"/>
        </w:rPr>
        <w:t>mL</w:t>
      </w:r>
      <w:proofErr w:type="spellEnd"/>
      <w:r w:rsidRPr="006410F4">
        <w:rPr>
          <w:rFonts w:ascii="Arial" w:eastAsia="Times New Roman" w:hAnsi="Arial" w:cs="Arial"/>
          <w:color w:val="000000"/>
          <w:sz w:val="18"/>
          <w:lang w:val="en-US" w:bidi="ar-SA"/>
        </w:rPr>
        <w:t xml:space="preserve"> for </w:t>
      </w:r>
      <w:proofErr w:type="spellStart"/>
      <w:r w:rsidRPr="006410F4">
        <w:rPr>
          <w:rFonts w:ascii="Arial" w:eastAsia="Times New Roman" w:hAnsi="Arial" w:cs="Arial"/>
          <w:color w:val="000000"/>
          <w:sz w:val="18"/>
          <w:lang w:val="en-US" w:bidi="ar-SA"/>
        </w:rPr>
        <w:t>cholangiocarcinoma</w:t>
      </w:r>
      <w:proofErr w:type="spellEnd"/>
      <w:r w:rsidRPr="006410F4">
        <w:rPr>
          <w:rFonts w:ascii="Arial" w:eastAsia="Times New Roman" w:hAnsi="Arial" w:cs="Arial"/>
          <w:color w:val="000000"/>
          <w:sz w:val="18"/>
          <w:lang w:val="en-US" w:bidi="ar-SA"/>
        </w:rPr>
        <w:t xml:space="preserve"> in primary </w:t>
      </w:r>
      <w:proofErr w:type="spellStart"/>
      <w:r w:rsidRPr="006410F4">
        <w:rPr>
          <w:rFonts w:ascii="Arial" w:eastAsia="Times New Roman" w:hAnsi="Arial" w:cs="Arial"/>
          <w:color w:val="000000"/>
          <w:sz w:val="18"/>
          <w:lang w:val="en-US" w:bidi="ar-SA"/>
        </w:rPr>
        <w:t>sclerosing</w:t>
      </w:r>
      <w:proofErr w:type="spellEnd"/>
      <w:r w:rsidRPr="006410F4">
        <w:rPr>
          <w:rFonts w:ascii="Arial" w:eastAsia="Times New Roman" w:hAnsi="Arial" w:cs="Arial"/>
          <w:color w:val="000000"/>
          <w:sz w:val="18"/>
          <w:lang w:val="en-US" w:bidi="ar-SA"/>
        </w:rPr>
        <w:t xml:space="preserve"> </w:t>
      </w:r>
      <w:proofErr w:type="spellStart"/>
      <w:r w:rsidRPr="006410F4">
        <w:rPr>
          <w:rFonts w:ascii="Arial" w:eastAsia="Times New Roman" w:hAnsi="Arial" w:cs="Arial"/>
          <w:color w:val="000000"/>
          <w:sz w:val="18"/>
          <w:lang w:val="en-US" w:bidi="ar-SA"/>
        </w:rPr>
        <w:t>cholangitis</w:t>
      </w:r>
      <w:proofErr w:type="spellEnd"/>
      <w:r w:rsidRPr="006410F4">
        <w:rPr>
          <w:rFonts w:ascii="Arial" w:eastAsia="Times New Roman" w:hAnsi="Arial" w:cs="Arial"/>
          <w:color w:val="000000"/>
          <w:sz w:val="18"/>
          <w:lang w:val="en-US" w:bidi="ar-SA"/>
        </w:rPr>
        <w:t xml:space="preserve"> was 89% and the specificity was 86%.</w:t>
      </w:r>
      <w:r w:rsidRPr="006410F4">
        <w:rPr>
          <w:rFonts w:ascii="Arial" w:eastAsia="Times New Roman" w:hAnsi="Arial" w:cs="Arial"/>
          <w:color w:val="000000"/>
          <w:sz w:val="18"/>
          <w:szCs w:val="18"/>
          <w:lang w:val="en-US" w:bidi="ar-SA"/>
        </w:rPr>
        <w:br/>
      </w:r>
      <w:r w:rsidRPr="006410F4">
        <w:rPr>
          <w:rFonts w:ascii="Arial" w:eastAsia="Times New Roman" w:hAnsi="Arial" w:cs="Arial"/>
          <w:color w:val="000000"/>
          <w:sz w:val="18"/>
          <w:szCs w:val="18"/>
          <w:lang w:val="en-US" w:bidi="ar-SA"/>
        </w:rPr>
        <w:br/>
      </w:r>
      <w:r w:rsidRPr="00D85F2C">
        <w:rPr>
          <w:rFonts w:ascii="Arial" w:eastAsia="Times New Roman" w:hAnsi="Arial" w:cs="Arial"/>
          <w:color w:val="000000"/>
          <w:sz w:val="18"/>
          <w:szCs w:val="18"/>
          <w:lang w:val="en-US" w:bidi="ar-SA"/>
        </w:rPr>
        <w:t>Reference range is 0-55 U/</w:t>
      </w:r>
      <w:proofErr w:type="spellStart"/>
      <w:r w:rsidRPr="00D85F2C">
        <w:rPr>
          <w:rFonts w:ascii="Arial" w:eastAsia="Times New Roman" w:hAnsi="Arial" w:cs="Arial"/>
          <w:color w:val="000000"/>
          <w:sz w:val="18"/>
          <w:szCs w:val="18"/>
          <w:lang w:val="en-US" w:bidi="ar-SA"/>
        </w:rPr>
        <w:t>mL.</w:t>
      </w:r>
      <w:proofErr w:type="spellEnd"/>
      <w:r w:rsidRPr="00D85F2C">
        <w:rPr>
          <w:rFonts w:ascii="Arial" w:eastAsia="Times New Roman" w:hAnsi="Arial" w:cs="Arial"/>
          <w:color w:val="000000"/>
          <w:sz w:val="18"/>
          <w:szCs w:val="18"/>
          <w:lang w:val="en-US" w:bidi="ar-SA"/>
        </w:rPr>
        <w:br/>
      </w:r>
      <w:r w:rsidRPr="00D85F2C">
        <w:rPr>
          <w:rFonts w:ascii="Arial" w:eastAsia="Times New Roman" w:hAnsi="Arial" w:cs="Arial"/>
          <w:color w:val="000000"/>
          <w:sz w:val="18"/>
          <w:szCs w:val="18"/>
          <w:lang w:val="en-US" w:bidi="ar-SA"/>
        </w:rPr>
        <w:br/>
        <w:t>Specimen requirement is one SST tube of blood. </w:t>
      </w:r>
    </w:p>
    <w:p w:rsidR="00D85F2C" w:rsidRPr="00D85F2C" w:rsidRDefault="00D85F2C" w:rsidP="00D85F2C">
      <w:pPr>
        <w:spacing w:after="0" w:line="240" w:lineRule="auto"/>
        <w:outlineLvl w:val="1"/>
        <w:rPr>
          <w:rFonts w:ascii="Arial" w:eastAsia="Times New Roman" w:hAnsi="Arial" w:cs="Arial"/>
          <w:b/>
          <w:bCs/>
          <w:color w:val="000000" w:themeColor="text1"/>
          <w:sz w:val="18"/>
          <w:szCs w:val="18"/>
          <w:lang w:val="en-US" w:bidi="ar-SA"/>
        </w:rPr>
      </w:pPr>
      <w:r w:rsidRPr="00D85F2C">
        <w:rPr>
          <w:rFonts w:ascii="Arial" w:eastAsia="Times New Roman" w:hAnsi="Arial" w:cs="Arial"/>
          <w:b/>
          <w:bCs/>
          <w:color w:val="000000" w:themeColor="text1"/>
          <w:sz w:val="18"/>
          <w:szCs w:val="18"/>
          <w:lang w:val="en-US" w:bidi="ar-SA"/>
        </w:rPr>
        <w:t>Specimen Type </w:t>
      </w:r>
    </w:p>
    <w:p w:rsidR="00D85F2C" w:rsidRPr="00D85F2C" w:rsidRDefault="00D85F2C" w:rsidP="00D85F2C">
      <w:pPr>
        <w:spacing w:line="360" w:lineRule="atLeast"/>
        <w:rPr>
          <w:rFonts w:ascii="Arial" w:eastAsia="Times New Roman" w:hAnsi="Arial" w:cs="Arial"/>
          <w:color w:val="000000" w:themeColor="text1"/>
          <w:sz w:val="18"/>
          <w:szCs w:val="18"/>
          <w:lang w:val="en-US" w:bidi="ar-SA"/>
        </w:rPr>
      </w:pPr>
      <w:r w:rsidRPr="00D85F2C">
        <w:rPr>
          <w:rFonts w:ascii="Arial" w:eastAsia="Times New Roman" w:hAnsi="Arial" w:cs="Arial"/>
          <w:color w:val="000000" w:themeColor="text1"/>
          <w:sz w:val="18"/>
          <w:szCs w:val="18"/>
          <w:lang w:val="en-US" w:bidi="ar-SA"/>
        </w:rPr>
        <w:t>Serum</w:t>
      </w:r>
    </w:p>
    <w:p w:rsidR="00D85F2C" w:rsidRPr="00D85F2C" w:rsidRDefault="00D85F2C" w:rsidP="00D85F2C">
      <w:pPr>
        <w:spacing w:after="0" w:line="360" w:lineRule="atLeast"/>
        <w:rPr>
          <w:rFonts w:ascii="Arial" w:eastAsia="Times New Roman" w:hAnsi="Arial" w:cs="Arial"/>
          <w:color w:val="000000" w:themeColor="text1"/>
          <w:sz w:val="18"/>
          <w:szCs w:val="18"/>
          <w:lang w:val="en-US" w:bidi="ar-SA"/>
        </w:rPr>
      </w:pPr>
      <w:bookmarkStart w:id="0" w:name="specimen_required"/>
      <w:bookmarkEnd w:id="0"/>
      <w:r w:rsidRPr="00D85F2C">
        <w:rPr>
          <w:rFonts w:ascii="Arial" w:eastAsia="Times New Roman" w:hAnsi="Arial" w:cs="Arial"/>
          <w:b/>
          <w:bCs/>
          <w:color w:val="000000" w:themeColor="text1"/>
          <w:sz w:val="18"/>
          <w:szCs w:val="18"/>
          <w:lang w:val="en-US" w:bidi="ar-SA"/>
        </w:rPr>
        <w:t>Container/Tube:</w:t>
      </w:r>
      <w:r w:rsidRPr="00D85F2C">
        <w:rPr>
          <w:rFonts w:ascii="Arial" w:eastAsia="Times New Roman" w:hAnsi="Arial" w:cs="Arial"/>
          <w:color w:val="000000" w:themeColor="text1"/>
          <w:sz w:val="18"/>
          <w:szCs w:val="18"/>
          <w:lang w:val="en-US" w:bidi="ar-SA"/>
        </w:rPr>
        <w:t> Plain, red-top tube(s) or serum gel tube(s)</w:t>
      </w:r>
    </w:p>
    <w:p w:rsidR="00D85F2C" w:rsidRPr="00D85F2C" w:rsidRDefault="00D85F2C" w:rsidP="00D85F2C">
      <w:pPr>
        <w:spacing w:line="360" w:lineRule="atLeast"/>
        <w:rPr>
          <w:rFonts w:ascii="Arial" w:eastAsia="Times New Roman" w:hAnsi="Arial" w:cs="Arial"/>
          <w:color w:val="000000" w:themeColor="text1"/>
          <w:sz w:val="18"/>
          <w:szCs w:val="18"/>
          <w:lang w:val="en-US" w:bidi="ar-SA"/>
        </w:rPr>
      </w:pPr>
      <w:r w:rsidRPr="00D85F2C">
        <w:rPr>
          <w:rFonts w:ascii="Arial" w:eastAsia="Times New Roman" w:hAnsi="Arial" w:cs="Arial"/>
          <w:b/>
          <w:bCs/>
          <w:color w:val="000000" w:themeColor="text1"/>
          <w:sz w:val="18"/>
          <w:szCs w:val="18"/>
          <w:lang w:val="en-US" w:bidi="ar-SA"/>
        </w:rPr>
        <w:t>Specimen Volume:</w:t>
      </w:r>
      <w:r w:rsidRPr="00D85F2C">
        <w:rPr>
          <w:rFonts w:ascii="Arial" w:eastAsia="Times New Roman" w:hAnsi="Arial" w:cs="Arial"/>
          <w:color w:val="000000" w:themeColor="text1"/>
          <w:sz w:val="18"/>
          <w:szCs w:val="18"/>
          <w:lang w:val="en-US" w:bidi="ar-SA"/>
        </w:rPr>
        <w:t xml:space="preserve"> 0.6 </w:t>
      </w:r>
      <w:proofErr w:type="spellStart"/>
      <w:r w:rsidRPr="00D85F2C">
        <w:rPr>
          <w:rFonts w:ascii="Arial" w:eastAsia="Times New Roman" w:hAnsi="Arial" w:cs="Arial"/>
          <w:color w:val="000000" w:themeColor="text1"/>
          <w:sz w:val="18"/>
          <w:szCs w:val="18"/>
          <w:lang w:val="en-US" w:bidi="ar-SA"/>
        </w:rPr>
        <w:t>mL</w:t>
      </w:r>
      <w:proofErr w:type="spellEnd"/>
      <w:r w:rsidRPr="00D85F2C">
        <w:rPr>
          <w:rFonts w:ascii="Arial" w:eastAsia="Times New Roman" w:hAnsi="Arial" w:cs="Arial"/>
          <w:color w:val="000000" w:themeColor="text1"/>
          <w:sz w:val="18"/>
          <w:szCs w:val="18"/>
          <w:lang w:val="en-US" w:bidi="ar-SA"/>
        </w:rPr>
        <w:t xml:space="preserve"> of serum</w:t>
      </w:r>
    </w:p>
    <w:p w:rsidR="00D85F2C" w:rsidRPr="00D85F2C" w:rsidRDefault="00D85F2C" w:rsidP="00D85F2C">
      <w:pPr>
        <w:spacing w:after="0" w:line="240" w:lineRule="auto"/>
        <w:outlineLvl w:val="1"/>
        <w:rPr>
          <w:rFonts w:ascii="Arial" w:eastAsia="Times New Roman" w:hAnsi="Arial" w:cs="Arial"/>
          <w:b/>
          <w:bCs/>
          <w:color w:val="000000" w:themeColor="text1"/>
          <w:sz w:val="18"/>
          <w:szCs w:val="18"/>
          <w:lang w:val="en-US" w:bidi="ar-SA"/>
        </w:rPr>
      </w:pPr>
      <w:bookmarkStart w:id="1" w:name="specimen_minimum_volume"/>
      <w:bookmarkStart w:id="2" w:name="reject_due_to"/>
      <w:bookmarkEnd w:id="1"/>
      <w:bookmarkEnd w:id="2"/>
      <w:r w:rsidRPr="00D85F2C">
        <w:rPr>
          <w:rFonts w:ascii="Arial" w:eastAsia="Times New Roman" w:hAnsi="Arial" w:cs="Arial"/>
          <w:b/>
          <w:bCs/>
          <w:color w:val="000000" w:themeColor="text1"/>
          <w:sz w:val="18"/>
          <w:szCs w:val="18"/>
          <w:lang w:val="en-US" w:bidi="ar-SA"/>
        </w:rPr>
        <w:t>Reject Due To </w:t>
      </w:r>
    </w:p>
    <w:p w:rsidR="00D85F2C" w:rsidRPr="00D85F2C" w:rsidRDefault="00D85F2C" w:rsidP="00D85F2C">
      <w:pPr>
        <w:tabs>
          <w:tab w:val="left" w:pos="2162"/>
        </w:tabs>
        <w:spacing w:before="48" w:after="48" w:line="240" w:lineRule="auto"/>
        <w:rPr>
          <w:rFonts w:ascii="Arial" w:eastAsia="Times New Roman" w:hAnsi="Arial" w:cs="Arial"/>
          <w:color w:val="000000" w:themeColor="text1"/>
          <w:sz w:val="18"/>
          <w:szCs w:val="18"/>
          <w:lang w:val="en-US" w:bidi="ar-SA"/>
        </w:rPr>
      </w:pPr>
      <w:r w:rsidRPr="00D85F2C">
        <w:rPr>
          <w:rFonts w:ascii="Arial" w:eastAsia="Times New Roman" w:hAnsi="Arial" w:cs="Arial"/>
          <w:color w:val="000000" w:themeColor="text1"/>
          <w:sz w:val="18"/>
          <w:szCs w:val="18"/>
          <w:lang w:val="en-US" w:bidi="ar-SA"/>
        </w:rPr>
        <w:t>Specimens other than</w:t>
      </w:r>
      <w:r w:rsidRPr="00D85F2C">
        <w:rPr>
          <w:rFonts w:ascii="Arial" w:eastAsia="Times New Roman" w:hAnsi="Arial" w:cs="Arial"/>
          <w:color w:val="000000" w:themeColor="text1"/>
          <w:sz w:val="18"/>
          <w:szCs w:val="18"/>
          <w:lang w:val="en-US" w:bidi="ar-SA"/>
        </w:rPr>
        <w:tab/>
        <w:t>Serum</w:t>
      </w:r>
    </w:p>
    <w:p w:rsidR="00D85F2C" w:rsidRPr="00D85F2C" w:rsidRDefault="00D85F2C" w:rsidP="00D85F2C">
      <w:pPr>
        <w:tabs>
          <w:tab w:val="left" w:pos="2162"/>
        </w:tabs>
        <w:spacing w:before="48" w:after="48" w:line="240" w:lineRule="auto"/>
        <w:rPr>
          <w:rFonts w:ascii="Arial" w:eastAsia="Times New Roman" w:hAnsi="Arial" w:cs="Arial"/>
          <w:color w:val="000000" w:themeColor="text1"/>
          <w:sz w:val="18"/>
          <w:szCs w:val="18"/>
          <w:lang w:val="en-US" w:bidi="ar-SA"/>
        </w:rPr>
      </w:pPr>
      <w:proofErr w:type="spellStart"/>
      <w:r w:rsidRPr="00D85F2C">
        <w:rPr>
          <w:rFonts w:ascii="Arial" w:eastAsia="Times New Roman" w:hAnsi="Arial" w:cs="Arial"/>
          <w:color w:val="000000" w:themeColor="text1"/>
          <w:sz w:val="18"/>
          <w:szCs w:val="18"/>
          <w:lang w:val="en-US" w:bidi="ar-SA"/>
        </w:rPr>
        <w:t>Hemolysis</w:t>
      </w:r>
      <w:proofErr w:type="spellEnd"/>
      <w:r w:rsidRPr="00D85F2C">
        <w:rPr>
          <w:rFonts w:ascii="Arial" w:eastAsia="Times New Roman" w:hAnsi="Arial" w:cs="Arial"/>
          <w:color w:val="000000" w:themeColor="text1"/>
          <w:sz w:val="18"/>
          <w:szCs w:val="18"/>
          <w:lang w:val="en-US" w:bidi="ar-SA"/>
        </w:rPr>
        <w:tab/>
        <w:t>Mild OK; Gross reject</w:t>
      </w:r>
    </w:p>
    <w:p w:rsidR="00D85F2C" w:rsidRPr="00D85F2C" w:rsidRDefault="00D85F2C" w:rsidP="00D85F2C">
      <w:pPr>
        <w:tabs>
          <w:tab w:val="left" w:pos="2162"/>
        </w:tabs>
        <w:spacing w:before="48" w:after="48" w:line="240" w:lineRule="auto"/>
        <w:rPr>
          <w:rFonts w:ascii="Arial" w:eastAsia="Times New Roman" w:hAnsi="Arial" w:cs="Arial"/>
          <w:color w:val="000000" w:themeColor="text1"/>
          <w:sz w:val="18"/>
          <w:szCs w:val="18"/>
          <w:lang w:val="en-US" w:bidi="ar-SA"/>
        </w:rPr>
      </w:pPr>
      <w:proofErr w:type="spellStart"/>
      <w:r w:rsidRPr="00D85F2C">
        <w:rPr>
          <w:rFonts w:ascii="Arial" w:eastAsia="Times New Roman" w:hAnsi="Arial" w:cs="Arial"/>
          <w:color w:val="000000" w:themeColor="text1"/>
          <w:sz w:val="18"/>
          <w:szCs w:val="18"/>
          <w:lang w:val="en-US" w:bidi="ar-SA"/>
        </w:rPr>
        <w:t>Lipemia</w:t>
      </w:r>
      <w:proofErr w:type="spellEnd"/>
      <w:r w:rsidRPr="00D85F2C">
        <w:rPr>
          <w:rFonts w:ascii="Arial" w:eastAsia="Times New Roman" w:hAnsi="Arial" w:cs="Arial"/>
          <w:color w:val="000000" w:themeColor="text1"/>
          <w:sz w:val="18"/>
          <w:szCs w:val="18"/>
          <w:lang w:val="en-US" w:bidi="ar-SA"/>
        </w:rPr>
        <w:tab/>
        <w:t>Mild OK; Gross OK</w:t>
      </w:r>
    </w:p>
    <w:p w:rsidR="00D85F2C" w:rsidRPr="00D85F2C" w:rsidRDefault="00D85F2C" w:rsidP="00D85F2C">
      <w:pPr>
        <w:tabs>
          <w:tab w:val="left" w:pos="2162"/>
        </w:tabs>
        <w:spacing w:before="48" w:after="48" w:line="240" w:lineRule="auto"/>
        <w:rPr>
          <w:rFonts w:ascii="Arial" w:eastAsia="Times New Roman" w:hAnsi="Arial" w:cs="Arial"/>
          <w:color w:val="000000" w:themeColor="text1"/>
          <w:sz w:val="18"/>
          <w:szCs w:val="18"/>
          <w:lang w:val="en-US" w:bidi="ar-SA"/>
        </w:rPr>
      </w:pPr>
      <w:proofErr w:type="spellStart"/>
      <w:r w:rsidRPr="00D85F2C">
        <w:rPr>
          <w:rFonts w:ascii="Arial" w:eastAsia="Times New Roman" w:hAnsi="Arial" w:cs="Arial"/>
          <w:color w:val="000000" w:themeColor="text1"/>
          <w:sz w:val="18"/>
          <w:szCs w:val="18"/>
          <w:lang w:val="en-US" w:bidi="ar-SA"/>
        </w:rPr>
        <w:t>Icteric</w:t>
      </w:r>
      <w:proofErr w:type="spellEnd"/>
      <w:r w:rsidRPr="00D85F2C">
        <w:rPr>
          <w:rFonts w:ascii="Arial" w:eastAsia="Times New Roman" w:hAnsi="Arial" w:cs="Arial"/>
          <w:color w:val="000000" w:themeColor="text1"/>
          <w:sz w:val="18"/>
          <w:szCs w:val="18"/>
          <w:lang w:val="en-US" w:bidi="ar-SA"/>
        </w:rPr>
        <w:tab/>
        <w:t>NA</w:t>
      </w:r>
    </w:p>
    <w:p w:rsidR="00D85F2C" w:rsidRPr="00D85F2C" w:rsidRDefault="00D85F2C" w:rsidP="00D85F2C">
      <w:pPr>
        <w:spacing w:after="0" w:line="240" w:lineRule="auto"/>
        <w:outlineLvl w:val="1"/>
        <w:rPr>
          <w:rFonts w:ascii="Arial" w:eastAsia="Times New Roman" w:hAnsi="Arial" w:cs="Arial"/>
          <w:b/>
          <w:bCs/>
          <w:color w:val="000000" w:themeColor="text1"/>
          <w:sz w:val="18"/>
          <w:szCs w:val="18"/>
          <w:lang w:val="en-US" w:bidi="ar-SA"/>
        </w:rPr>
      </w:pPr>
      <w:bookmarkStart w:id="3" w:name="specimen_transport_temperature"/>
      <w:bookmarkEnd w:id="3"/>
    </w:p>
    <w:p w:rsidR="00D85F2C" w:rsidRPr="00D85F2C" w:rsidRDefault="00D85F2C" w:rsidP="00D85F2C">
      <w:pPr>
        <w:spacing w:after="0" w:line="240" w:lineRule="auto"/>
        <w:outlineLvl w:val="1"/>
        <w:rPr>
          <w:rFonts w:ascii="Arial" w:eastAsia="Times New Roman" w:hAnsi="Arial" w:cs="Arial"/>
          <w:b/>
          <w:bCs/>
          <w:color w:val="000000" w:themeColor="text1"/>
          <w:sz w:val="18"/>
          <w:szCs w:val="18"/>
          <w:lang w:val="en-US" w:bidi="ar-SA"/>
        </w:rPr>
      </w:pPr>
      <w:r w:rsidRPr="00D85F2C">
        <w:rPr>
          <w:rFonts w:ascii="Arial" w:eastAsia="Times New Roman" w:hAnsi="Arial" w:cs="Arial"/>
          <w:b/>
          <w:bCs/>
          <w:color w:val="000000" w:themeColor="text1"/>
          <w:sz w:val="18"/>
          <w:szCs w:val="18"/>
          <w:lang w:val="en-US" w:bidi="ar-SA"/>
        </w:rPr>
        <w:t>Transport Temperature </w:t>
      </w:r>
    </w:p>
    <w:p w:rsidR="00D85F2C" w:rsidRPr="00D85F2C" w:rsidRDefault="00D85F2C" w:rsidP="00D85F2C">
      <w:pPr>
        <w:spacing w:line="360" w:lineRule="atLeast"/>
        <w:rPr>
          <w:rFonts w:ascii="Arial" w:eastAsia="Times New Roman" w:hAnsi="Arial" w:cs="Arial"/>
          <w:color w:val="000000" w:themeColor="text1"/>
          <w:sz w:val="18"/>
          <w:szCs w:val="18"/>
          <w:lang w:val="en-US" w:bidi="ar-SA"/>
        </w:rPr>
      </w:pPr>
      <w:proofErr w:type="spellStart"/>
      <w:r w:rsidRPr="00D85F2C">
        <w:rPr>
          <w:rFonts w:ascii="Arial" w:eastAsia="Times New Roman" w:hAnsi="Arial" w:cs="Arial"/>
          <w:color w:val="000000" w:themeColor="text1"/>
          <w:sz w:val="18"/>
          <w:szCs w:val="18"/>
          <w:lang w:val="en-US" w:bidi="ar-SA"/>
        </w:rPr>
        <w:t>Refrig</w:t>
      </w:r>
      <w:proofErr w:type="spellEnd"/>
      <w:r w:rsidRPr="00D85F2C">
        <w:rPr>
          <w:rFonts w:ascii="Arial" w:eastAsia="Times New Roman" w:hAnsi="Arial" w:cs="Arial"/>
          <w:color w:val="000000" w:themeColor="text1"/>
          <w:sz w:val="18"/>
          <w:szCs w:val="18"/>
          <w:lang w:val="en-US" w:bidi="ar-SA"/>
        </w:rPr>
        <w:t>\Frozen OK\Ambient NO</w:t>
      </w:r>
    </w:p>
    <w:p w:rsidR="007836E9" w:rsidRPr="00D85F2C" w:rsidRDefault="00D85F2C" w:rsidP="006410F4">
      <w:pPr>
        <w:spacing w:line="240" w:lineRule="auto"/>
        <w:rPr>
          <w:rFonts w:ascii="Arial" w:hAnsi="Arial" w:cs="Arial"/>
          <w:color w:val="000000" w:themeColor="text1"/>
          <w:sz w:val="18"/>
          <w:szCs w:val="18"/>
        </w:rPr>
      </w:pPr>
    </w:p>
    <w:sectPr w:rsidR="007836E9" w:rsidRPr="00D85F2C" w:rsidSect="00324B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23EEA"/>
    <w:multiLevelType w:val="hybridMultilevel"/>
    <w:tmpl w:val="9B34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254"/>
    <w:rsid w:val="002C6026"/>
    <w:rsid w:val="002F741A"/>
    <w:rsid w:val="00324B5A"/>
    <w:rsid w:val="00425958"/>
    <w:rsid w:val="004C5073"/>
    <w:rsid w:val="0062400F"/>
    <w:rsid w:val="006410F4"/>
    <w:rsid w:val="006E10DB"/>
    <w:rsid w:val="00935917"/>
    <w:rsid w:val="00AD4A25"/>
    <w:rsid w:val="00B40254"/>
    <w:rsid w:val="00D85F2C"/>
    <w:rsid w:val="00DB1241"/>
    <w:rsid w:val="00FD1DF6"/>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5A"/>
    <w:rPr>
      <w:lang w:val="en-GB"/>
    </w:rPr>
  </w:style>
  <w:style w:type="paragraph" w:styleId="Heading1">
    <w:name w:val="heading 1"/>
    <w:basedOn w:val="Normal"/>
    <w:link w:val="Heading1Char"/>
    <w:uiPriority w:val="9"/>
    <w:qFormat/>
    <w:rsid w:val="00B4025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B4025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2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025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40254"/>
  </w:style>
  <w:style w:type="paragraph" w:styleId="NormalWeb">
    <w:name w:val="Normal (Web)"/>
    <w:basedOn w:val="Normal"/>
    <w:uiPriority w:val="99"/>
    <w:semiHidden/>
    <w:unhideWhenUsed/>
    <w:rsid w:val="00B402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structions">
    <w:name w:val="instructions"/>
    <w:basedOn w:val="DefaultParagraphFont"/>
    <w:rsid w:val="00B40254"/>
  </w:style>
  <w:style w:type="paragraph" w:styleId="BalloonText">
    <w:name w:val="Balloon Text"/>
    <w:basedOn w:val="Normal"/>
    <w:link w:val="BalloonTextChar"/>
    <w:uiPriority w:val="99"/>
    <w:semiHidden/>
    <w:unhideWhenUsed/>
    <w:rsid w:val="00B40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254"/>
    <w:rPr>
      <w:rFonts w:ascii="Tahoma" w:hAnsi="Tahoma" w:cs="Tahoma"/>
      <w:sz w:val="16"/>
      <w:szCs w:val="16"/>
      <w:lang w:val="en-GB"/>
    </w:rPr>
  </w:style>
  <w:style w:type="paragraph" w:styleId="ListParagraph">
    <w:name w:val="List Paragraph"/>
    <w:basedOn w:val="Normal"/>
    <w:uiPriority w:val="34"/>
    <w:qFormat/>
    <w:rsid w:val="00425958"/>
    <w:pPr>
      <w:ind w:left="720"/>
      <w:contextualSpacing/>
    </w:pPr>
  </w:style>
  <w:style w:type="character" w:styleId="Hyperlink">
    <w:name w:val="Hyperlink"/>
    <w:basedOn w:val="DefaultParagraphFont"/>
    <w:uiPriority w:val="99"/>
    <w:semiHidden/>
    <w:unhideWhenUsed/>
    <w:rsid w:val="006410F4"/>
    <w:rPr>
      <w:color w:val="0000FF"/>
      <w:u w:val="single"/>
    </w:rPr>
  </w:style>
  <w:style w:type="character" w:customStyle="1" w:styleId="bodytextblack">
    <w:name w:val="bodytextblack"/>
    <w:basedOn w:val="DefaultParagraphFont"/>
    <w:rsid w:val="006410F4"/>
  </w:style>
</w:styles>
</file>

<file path=word/webSettings.xml><?xml version="1.0" encoding="utf-8"?>
<w:webSettings xmlns:r="http://schemas.openxmlformats.org/officeDocument/2006/relationships" xmlns:w="http://schemas.openxmlformats.org/wordprocessingml/2006/main">
  <w:divs>
    <w:div w:id="124547628">
      <w:bodyDiv w:val="1"/>
      <w:marLeft w:val="0"/>
      <w:marRight w:val="0"/>
      <w:marTop w:val="0"/>
      <w:marBottom w:val="0"/>
      <w:divBdr>
        <w:top w:val="none" w:sz="0" w:space="0" w:color="auto"/>
        <w:left w:val="none" w:sz="0" w:space="0" w:color="auto"/>
        <w:bottom w:val="none" w:sz="0" w:space="0" w:color="auto"/>
        <w:right w:val="none" w:sz="0" w:space="0" w:color="auto"/>
      </w:divBdr>
      <w:divsChild>
        <w:div w:id="199707920">
          <w:marLeft w:val="0"/>
          <w:marRight w:val="0"/>
          <w:marTop w:val="0"/>
          <w:marBottom w:val="0"/>
          <w:divBdr>
            <w:top w:val="none" w:sz="0" w:space="0" w:color="auto"/>
            <w:left w:val="none" w:sz="0" w:space="0" w:color="auto"/>
            <w:bottom w:val="none" w:sz="0" w:space="0" w:color="auto"/>
            <w:right w:val="none" w:sz="0" w:space="0" w:color="auto"/>
          </w:divBdr>
          <w:divsChild>
            <w:div w:id="1623995596">
              <w:marLeft w:val="0"/>
              <w:marRight w:val="0"/>
              <w:marTop w:val="0"/>
              <w:marBottom w:val="0"/>
              <w:divBdr>
                <w:top w:val="none" w:sz="0" w:space="0" w:color="auto"/>
                <w:left w:val="none" w:sz="0" w:space="0" w:color="auto"/>
                <w:bottom w:val="none" w:sz="0" w:space="0" w:color="auto"/>
                <w:right w:val="none" w:sz="0" w:space="0" w:color="auto"/>
              </w:divBdr>
              <w:divsChild>
                <w:div w:id="1981881336">
                  <w:marLeft w:val="0"/>
                  <w:marRight w:val="0"/>
                  <w:marTop w:val="0"/>
                  <w:marBottom w:val="240"/>
                  <w:divBdr>
                    <w:top w:val="none" w:sz="0" w:space="0" w:color="auto"/>
                    <w:left w:val="none" w:sz="0" w:space="0" w:color="auto"/>
                    <w:bottom w:val="none" w:sz="0" w:space="0" w:color="auto"/>
                    <w:right w:val="none" w:sz="0" w:space="0" w:color="auto"/>
                  </w:divBdr>
                </w:div>
                <w:div w:id="151410278">
                  <w:marLeft w:val="0"/>
                  <w:marRight w:val="0"/>
                  <w:marTop w:val="0"/>
                  <w:marBottom w:val="240"/>
                  <w:divBdr>
                    <w:top w:val="none" w:sz="0" w:space="0" w:color="auto"/>
                    <w:left w:val="none" w:sz="0" w:space="0" w:color="auto"/>
                    <w:bottom w:val="none" w:sz="0" w:space="0" w:color="auto"/>
                    <w:right w:val="none" w:sz="0" w:space="0" w:color="auto"/>
                  </w:divBdr>
                </w:div>
                <w:div w:id="439687450">
                  <w:marLeft w:val="0"/>
                  <w:marRight w:val="0"/>
                  <w:marTop w:val="0"/>
                  <w:marBottom w:val="240"/>
                  <w:divBdr>
                    <w:top w:val="none" w:sz="0" w:space="0" w:color="auto"/>
                    <w:left w:val="none" w:sz="0" w:space="0" w:color="auto"/>
                    <w:bottom w:val="none" w:sz="0" w:space="0" w:color="auto"/>
                    <w:right w:val="none" w:sz="0" w:space="0" w:color="auto"/>
                  </w:divBdr>
                </w:div>
                <w:div w:id="437719244">
                  <w:marLeft w:val="0"/>
                  <w:marRight w:val="0"/>
                  <w:marTop w:val="0"/>
                  <w:marBottom w:val="240"/>
                  <w:divBdr>
                    <w:top w:val="none" w:sz="0" w:space="0" w:color="auto"/>
                    <w:left w:val="none" w:sz="0" w:space="0" w:color="auto"/>
                    <w:bottom w:val="none" w:sz="0" w:space="0" w:color="auto"/>
                    <w:right w:val="none" w:sz="0" w:space="0" w:color="auto"/>
                  </w:divBdr>
                </w:div>
                <w:div w:id="1816604480">
                  <w:marLeft w:val="0"/>
                  <w:marRight w:val="0"/>
                  <w:marTop w:val="0"/>
                  <w:marBottom w:val="240"/>
                  <w:divBdr>
                    <w:top w:val="none" w:sz="0" w:space="0" w:color="auto"/>
                    <w:left w:val="none" w:sz="0" w:space="0" w:color="auto"/>
                    <w:bottom w:val="none" w:sz="0" w:space="0" w:color="auto"/>
                    <w:right w:val="none" w:sz="0" w:space="0" w:color="auto"/>
                  </w:divBdr>
                </w:div>
                <w:div w:id="1327901115">
                  <w:marLeft w:val="0"/>
                  <w:marRight w:val="0"/>
                  <w:marTop w:val="0"/>
                  <w:marBottom w:val="240"/>
                  <w:divBdr>
                    <w:top w:val="none" w:sz="0" w:space="0" w:color="auto"/>
                    <w:left w:val="none" w:sz="0" w:space="0" w:color="auto"/>
                    <w:bottom w:val="none" w:sz="0" w:space="0" w:color="auto"/>
                    <w:right w:val="none" w:sz="0" w:space="0" w:color="auto"/>
                  </w:divBdr>
                </w:div>
                <w:div w:id="1922640353">
                  <w:marLeft w:val="0"/>
                  <w:marRight w:val="0"/>
                  <w:marTop w:val="0"/>
                  <w:marBottom w:val="240"/>
                  <w:divBdr>
                    <w:top w:val="none" w:sz="0" w:space="0" w:color="auto"/>
                    <w:left w:val="none" w:sz="0" w:space="0" w:color="auto"/>
                    <w:bottom w:val="none" w:sz="0" w:space="0" w:color="auto"/>
                    <w:right w:val="none" w:sz="0" w:space="0" w:color="auto"/>
                  </w:divBdr>
                </w:div>
                <w:div w:id="930821294">
                  <w:marLeft w:val="0"/>
                  <w:marRight w:val="0"/>
                  <w:marTop w:val="0"/>
                  <w:marBottom w:val="240"/>
                  <w:divBdr>
                    <w:top w:val="none" w:sz="0" w:space="0" w:color="auto"/>
                    <w:left w:val="none" w:sz="0" w:space="0" w:color="auto"/>
                    <w:bottom w:val="none" w:sz="0" w:space="0" w:color="auto"/>
                    <w:right w:val="none" w:sz="0" w:space="0" w:color="auto"/>
                  </w:divBdr>
                </w:div>
                <w:div w:id="505511931">
                  <w:marLeft w:val="0"/>
                  <w:marRight w:val="0"/>
                  <w:marTop w:val="0"/>
                  <w:marBottom w:val="240"/>
                  <w:divBdr>
                    <w:top w:val="none" w:sz="0" w:space="0" w:color="auto"/>
                    <w:left w:val="none" w:sz="0" w:space="0" w:color="auto"/>
                    <w:bottom w:val="none" w:sz="0" w:space="0" w:color="auto"/>
                    <w:right w:val="none" w:sz="0" w:space="0" w:color="auto"/>
                  </w:divBdr>
                </w:div>
                <w:div w:id="1985499425">
                  <w:marLeft w:val="0"/>
                  <w:marRight w:val="0"/>
                  <w:marTop w:val="0"/>
                  <w:marBottom w:val="240"/>
                  <w:divBdr>
                    <w:top w:val="none" w:sz="0" w:space="0" w:color="auto"/>
                    <w:left w:val="none" w:sz="0" w:space="0" w:color="auto"/>
                    <w:bottom w:val="none" w:sz="0" w:space="0" w:color="auto"/>
                    <w:right w:val="none" w:sz="0" w:space="0" w:color="auto"/>
                  </w:divBdr>
                </w:div>
                <w:div w:id="158085594">
                  <w:marLeft w:val="0"/>
                  <w:marRight w:val="0"/>
                  <w:marTop w:val="0"/>
                  <w:marBottom w:val="240"/>
                  <w:divBdr>
                    <w:top w:val="none" w:sz="0" w:space="0" w:color="auto"/>
                    <w:left w:val="none" w:sz="0" w:space="0" w:color="auto"/>
                    <w:bottom w:val="none" w:sz="0" w:space="0" w:color="auto"/>
                    <w:right w:val="none" w:sz="0" w:space="0" w:color="auto"/>
                  </w:divBdr>
                </w:div>
                <w:div w:id="379596818">
                  <w:marLeft w:val="0"/>
                  <w:marRight w:val="0"/>
                  <w:marTop w:val="0"/>
                  <w:marBottom w:val="240"/>
                  <w:divBdr>
                    <w:top w:val="none" w:sz="0" w:space="0" w:color="auto"/>
                    <w:left w:val="none" w:sz="0" w:space="0" w:color="auto"/>
                    <w:bottom w:val="none" w:sz="0" w:space="0" w:color="auto"/>
                    <w:right w:val="none" w:sz="0" w:space="0" w:color="auto"/>
                  </w:divBdr>
                </w:div>
                <w:div w:id="1082794701">
                  <w:marLeft w:val="0"/>
                  <w:marRight w:val="0"/>
                  <w:marTop w:val="0"/>
                  <w:marBottom w:val="240"/>
                  <w:divBdr>
                    <w:top w:val="none" w:sz="0" w:space="0" w:color="auto"/>
                    <w:left w:val="none" w:sz="0" w:space="0" w:color="auto"/>
                    <w:bottom w:val="none" w:sz="0" w:space="0" w:color="auto"/>
                    <w:right w:val="none" w:sz="0" w:space="0" w:color="auto"/>
                  </w:divBdr>
                </w:div>
                <w:div w:id="656809010">
                  <w:marLeft w:val="0"/>
                  <w:marRight w:val="0"/>
                  <w:marTop w:val="0"/>
                  <w:marBottom w:val="240"/>
                  <w:divBdr>
                    <w:top w:val="none" w:sz="0" w:space="0" w:color="auto"/>
                    <w:left w:val="none" w:sz="0" w:space="0" w:color="auto"/>
                    <w:bottom w:val="none" w:sz="0" w:space="0" w:color="auto"/>
                    <w:right w:val="none" w:sz="0" w:space="0" w:color="auto"/>
                  </w:divBdr>
                </w:div>
                <w:div w:id="1194810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976150">
      <w:bodyDiv w:val="1"/>
      <w:marLeft w:val="0"/>
      <w:marRight w:val="0"/>
      <w:marTop w:val="0"/>
      <w:marBottom w:val="0"/>
      <w:divBdr>
        <w:top w:val="none" w:sz="0" w:space="0" w:color="auto"/>
        <w:left w:val="none" w:sz="0" w:space="0" w:color="auto"/>
        <w:bottom w:val="none" w:sz="0" w:space="0" w:color="auto"/>
        <w:right w:val="none" w:sz="0" w:space="0" w:color="auto"/>
      </w:divBdr>
      <w:divsChild>
        <w:div w:id="796336424">
          <w:marLeft w:val="30"/>
          <w:marRight w:val="30"/>
          <w:marTop w:val="30"/>
          <w:marBottom w:val="30"/>
          <w:divBdr>
            <w:top w:val="none" w:sz="0" w:space="0" w:color="auto"/>
            <w:left w:val="none" w:sz="0" w:space="0" w:color="auto"/>
            <w:bottom w:val="none" w:sz="0" w:space="0" w:color="auto"/>
            <w:right w:val="none" w:sz="0" w:space="0" w:color="auto"/>
          </w:divBdr>
        </w:div>
      </w:divsChild>
    </w:div>
    <w:div w:id="801578755">
      <w:bodyDiv w:val="1"/>
      <w:marLeft w:val="0"/>
      <w:marRight w:val="0"/>
      <w:marTop w:val="0"/>
      <w:marBottom w:val="0"/>
      <w:divBdr>
        <w:top w:val="none" w:sz="0" w:space="0" w:color="auto"/>
        <w:left w:val="none" w:sz="0" w:space="0" w:color="auto"/>
        <w:bottom w:val="none" w:sz="0" w:space="0" w:color="auto"/>
        <w:right w:val="none" w:sz="0" w:space="0" w:color="auto"/>
      </w:divBdr>
      <w:divsChild>
        <w:div w:id="483279095">
          <w:marLeft w:val="0"/>
          <w:marRight w:val="0"/>
          <w:marTop w:val="0"/>
          <w:marBottom w:val="240"/>
          <w:divBdr>
            <w:top w:val="none" w:sz="0" w:space="0" w:color="auto"/>
            <w:left w:val="none" w:sz="0" w:space="0" w:color="auto"/>
            <w:bottom w:val="none" w:sz="0" w:space="0" w:color="auto"/>
            <w:right w:val="none" w:sz="0" w:space="0" w:color="auto"/>
          </w:divBdr>
        </w:div>
        <w:div w:id="1516650430">
          <w:marLeft w:val="0"/>
          <w:marRight w:val="0"/>
          <w:marTop w:val="0"/>
          <w:marBottom w:val="240"/>
          <w:divBdr>
            <w:top w:val="none" w:sz="0" w:space="0" w:color="auto"/>
            <w:left w:val="none" w:sz="0" w:space="0" w:color="auto"/>
            <w:bottom w:val="none" w:sz="0" w:space="0" w:color="auto"/>
            <w:right w:val="none" w:sz="0" w:space="0" w:color="auto"/>
          </w:divBdr>
        </w:div>
        <w:div w:id="47382574">
          <w:marLeft w:val="0"/>
          <w:marRight w:val="0"/>
          <w:marTop w:val="0"/>
          <w:marBottom w:val="240"/>
          <w:divBdr>
            <w:top w:val="none" w:sz="0" w:space="0" w:color="auto"/>
            <w:left w:val="none" w:sz="0" w:space="0" w:color="auto"/>
            <w:bottom w:val="none" w:sz="0" w:space="0" w:color="auto"/>
            <w:right w:val="none" w:sz="0" w:space="0" w:color="auto"/>
          </w:divBdr>
        </w:div>
        <w:div w:id="1504853541">
          <w:marLeft w:val="0"/>
          <w:marRight w:val="0"/>
          <w:marTop w:val="0"/>
          <w:marBottom w:val="240"/>
          <w:divBdr>
            <w:top w:val="none" w:sz="0" w:space="0" w:color="auto"/>
            <w:left w:val="none" w:sz="0" w:space="0" w:color="auto"/>
            <w:bottom w:val="none" w:sz="0" w:space="0" w:color="auto"/>
            <w:right w:val="none" w:sz="0" w:space="0" w:color="auto"/>
          </w:divBdr>
        </w:div>
        <w:div w:id="43949617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778</Words>
  <Characters>4437</Characters>
  <Application>Microsoft Office Word</Application>
  <DocSecurity>0</DocSecurity>
  <Lines>36</Lines>
  <Paragraphs>10</Paragraphs>
  <ScaleCrop>false</ScaleCrop>
  <Company>abc</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Gaurang</dc:creator>
  <cp:keywords/>
  <dc:description/>
  <cp:lastModifiedBy>***</cp:lastModifiedBy>
  <cp:revision>5</cp:revision>
  <dcterms:created xsi:type="dcterms:W3CDTF">2010-06-15T11:41:00Z</dcterms:created>
  <dcterms:modified xsi:type="dcterms:W3CDTF">2011-05-21T07:13:00Z</dcterms:modified>
</cp:coreProperties>
</file>